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hyperlink w:anchor="toc_page">
        <w:bookmarkStart w:id="0" w:name="talk-20230630.htm"/>
        <w:bookmarkStart w:id="1" w:name="kstalk20230630"/>
        <w:bookmarkEnd w:id="0"/>
        <w:bookmarkEnd w:id="1"/>
        <w:r>
          <w:rPr>
            <w:rStyle w:val="InternetLink"/>
            <w:rFonts w:ascii="Times New Roman;serif" w:hAnsi="Times New Roman;serif"/>
            <w:b w:val="false"/>
            <w:sz w:val="18"/>
            <w:u w:val="single"/>
          </w:rPr>
          <w:t>Table of Contents</w:t>
        </w:r>
      </w:hyperlink>
    </w:p>
    <w:p>
      <w:pPr>
        <w:pStyle w:val="TextBody"/>
        <w:pBdr>
          <w:top w:val="single" w:sz="24" w:space="1" w:color="000000"/>
        </w:pBdr>
        <w:bidi w:val="0"/>
        <w:spacing w:before="0" w:after="0"/>
        <w:jc w:val="left"/>
        <w:rPr>
          <w:rFonts w:ascii="Times New Roman;serif" w:hAnsi="Times New Roman;serif"/>
          <w:b w:val="false"/>
          <w:sz w:val="2"/>
        </w:rPr>
      </w:pPr>
      <w:r>
        <w:rPr>
          <w:rFonts w:ascii="Times New Roman;serif" w:hAnsi="Times New Roman;serif"/>
          <w:b w:val="false"/>
          <w:sz w:val="2"/>
        </w:rPr>
        <w:t>first quarter</w:t>
      </w:r>
    </w:p>
    <w:p>
      <w:pPr>
        <w:pStyle w:val="TextBody"/>
        <w:pBdr>
          <w:bottom w:val="single" w:sz="8" w:space="1" w:color="000000"/>
        </w:pBdr>
        <w:bidi w:val="0"/>
        <w:spacing w:before="0" w:after="0"/>
        <w:jc w:val="left"/>
        <w:rPr/>
      </w:pPr>
      <w:r>
        <w:rPr/>
        <w:t> </w:t>
      </w:r>
    </w:p>
    <w:p>
      <w:pPr>
        <w:pStyle w:val="TextBody"/>
        <w:bidi w:val="0"/>
        <w:spacing w:before="0" w:after="0"/>
        <w:jc w:val="center"/>
        <w:rPr>
          <w:rFonts w:ascii="Times New Roman;serif" w:hAnsi="Times New Roman;serif"/>
          <w:b/>
          <w:sz w:val="36"/>
        </w:rPr>
      </w:pPr>
      <w:r>
        <w:rPr>
          <w:rFonts w:ascii="Times New Roman;serif" w:hAnsi="Times New Roman;serif"/>
          <w:b/>
          <w:sz w:val="36"/>
        </w:rPr>
        <w:t>UNITED STATES</w:t>
      </w:r>
    </w:p>
    <w:p>
      <w:pPr>
        <w:pStyle w:val="TextBody"/>
        <w:bidi w:val="0"/>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bidi w:val="0"/>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bidi w:val="0"/>
        <w:spacing w:before="60" w:after="120"/>
        <w:jc w:val="center"/>
        <w:rPr/>
      </w:pPr>
      <w:r>
        <w:rPr/>
        <w:t> </w:t>
      </w:r>
    </w:p>
    <w:p>
      <w:pPr>
        <w:pStyle w:val="TextBody"/>
        <w:bidi w:val="0"/>
        <w:spacing w:before="12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bidi w:val="0"/>
        <w:spacing w:before="60" w:after="120"/>
        <w:jc w:val="center"/>
        <w:rPr/>
      </w:pPr>
      <w:r>
        <w:rPr/>
        <w:t> </w:t>
      </w:r>
    </w:p>
    <w:p>
      <w:pPr>
        <w:pStyle w:val="TextBody"/>
        <w:bidi w:val="0"/>
        <w:spacing w:before="90" w:after="0"/>
        <w:jc w:val="left"/>
        <w:rPr>
          <w:rFonts w:ascii="Times New Roman;serif" w:hAnsi="Times New Roman;serif"/>
          <w:b/>
          <w:sz w:val="16"/>
        </w:rPr>
      </w:pPr>
      <w:r>
        <w:rPr>
          <w:rFonts w:ascii="Times New Roman;serif" w:hAnsi="Times New Roman;serif"/>
          <w:b/>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QUARTERLY REPORT PURSUANT TO SECTION 13 OR 15(d) OF THE SECURITIES EXCHANGE ACT OF 1934</w:t>
            </w:r>
          </w:p>
        </w:tc>
      </w:tr>
    </w:tbl>
    <w:p>
      <w:pPr>
        <w:pStyle w:val="TextBody"/>
        <w:bidi w:val="0"/>
        <w:spacing w:before="120" w:after="0"/>
        <w:jc w:val="center"/>
        <w:rPr>
          <w:rFonts w:ascii="Times New Roman;serif" w:hAnsi="Times New Roman;serif"/>
          <w:b/>
          <w:sz w:val="20"/>
        </w:rPr>
      </w:pPr>
      <w:r>
        <w:rPr>
          <w:rFonts w:ascii="Times New Roman;serif" w:hAnsi="Times New Roman;serif"/>
          <w:b/>
          <w:sz w:val="20"/>
        </w:rPr>
        <w:t>For the quarterly period ended June 30, 2023</w:t>
      </w:r>
    </w:p>
    <w:p>
      <w:pPr>
        <w:pStyle w:val="TextBody"/>
        <w:bidi w:val="0"/>
        <w:spacing w:before="120" w:after="0"/>
        <w:jc w:val="center"/>
        <w:rPr>
          <w:rFonts w:ascii="Times New Roman;serif" w:hAnsi="Times New Roman;serif"/>
          <w:b/>
          <w:sz w:val="20"/>
        </w:rPr>
      </w:pPr>
      <w:r>
        <w:rPr>
          <w:rFonts w:ascii="Times New Roman;serif" w:hAnsi="Times New Roman;serif"/>
          <w:b/>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120" w:after="0"/>
              <w:ind w:left="0" w:right="0" w:hanging="0"/>
              <w:jc w:val="left"/>
              <w:rPr>
                <w:rFonts w:ascii="Times New Roman;serif" w:hAnsi="Times New Roman;serif"/>
                <w:b/>
                <w:sz w:val="20"/>
              </w:rPr>
            </w:pPr>
            <w:r>
              <w:rPr>
                <w:rFonts w:ascii="Times New Roman;serif" w:hAnsi="Times New Roman;serif"/>
                <w:b/>
                <w:sz w:val="20"/>
              </w:rPr>
              <w:t>TRANSITION REPORT PURSUANT TO SECTION 13 OR 15(d) OF THE SECURITIES EXCHANGE ACT OF 1934</w:t>
            </w:r>
          </w:p>
        </w:tc>
      </w:tr>
    </w:tbl>
    <w:p>
      <w:pPr>
        <w:pStyle w:val="TextBody"/>
        <w:bidi w:val="0"/>
        <w:spacing w:before="120" w:after="0"/>
        <w:jc w:val="center"/>
        <w:rPr>
          <w:rFonts w:ascii="Times New Roman" w:hAnsi="Times New Roman"/>
          <w:sz w:val="20"/>
        </w:rPr>
      </w:pPr>
      <w:r>
        <w:rPr>
          <w:rFonts w:ascii="Times New Roman;serif" w:hAnsi="Times New Roman;serif"/>
          <w:b/>
          <w:sz w:val="20"/>
        </w:rPr>
        <w:t>For the transition period from to</w:t>
      </w:r>
      <w:r>
        <w:rPr>
          <w:rFonts w:ascii="Times New Roman" w:hAnsi="Times New Roman"/>
          <w:sz w:val="20"/>
        </w:rPr>
        <w:t xml:space="preserve"> </w:t>
      </w:r>
    </w:p>
    <w:p>
      <w:pPr>
        <w:pStyle w:val="TextBody"/>
        <w:bidi w:val="0"/>
        <w:spacing w:before="120" w:after="0"/>
        <w:jc w:val="center"/>
        <w:rPr>
          <w:rFonts w:ascii="Times New Roman;serif" w:hAnsi="Times New Roman;serif"/>
          <w:b/>
          <w:sz w:val="20"/>
        </w:rPr>
      </w:pPr>
      <w:r>
        <w:rPr>
          <w:rFonts w:ascii="Times New Roman;serif" w:hAnsi="Times New Roman;serif"/>
          <w:b/>
          <w:sz w:val="20"/>
        </w:rPr>
        <w:t>Commission File Number: 001-39314</w:t>
      </w:r>
    </w:p>
    <w:p>
      <w:pPr>
        <w:pStyle w:val="TextBody"/>
        <w:pBdr>
          <w:bottom w:val="single" w:sz="4" w:space="1" w:color="000000"/>
        </w:pBdr>
        <w:bidi w:val="0"/>
        <w:spacing w:before="60" w:after="120"/>
        <w:jc w:val="center"/>
        <w:rPr/>
      </w:pPr>
      <w:r>
        <w:rPr/>
        <w:t> </w:t>
      </w:r>
    </w:p>
    <w:p>
      <w:pPr>
        <w:pStyle w:val="TextBody"/>
        <w:bidi w:val="0"/>
        <w:spacing w:before="0" w:after="0"/>
        <w:jc w:val="center"/>
        <w:rPr>
          <w:rFonts w:ascii="Times New Roman;serif" w:hAnsi="Times New Roman;serif"/>
          <w:b/>
          <w:sz w:val="36"/>
        </w:rPr>
      </w:pPr>
      <w:r>
        <w:rPr>
          <w:rFonts w:ascii="Times New Roman;serif" w:hAnsi="Times New Roman;serif"/>
          <w:b/>
          <w:sz w:val="36"/>
        </w:rPr>
        <w:t>TALKSPACE, INC.</w:t>
      </w:r>
    </w:p>
    <w:p>
      <w:pPr>
        <w:pStyle w:val="TextBody"/>
        <w:bidi w:val="0"/>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bidi w:val="0"/>
        <w:spacing w:before="60" w:after="0"/>
        <w:jc w:val="center"/>
        <w:rPr/>
      </w:pPr>
      <w:r>
        <w:rPr/>
        <w:t> </w:t>
      </w:r>
    </w:p>
    <w:p>
      <w:pPr>
        <w:pStyle w:val="TextBody"/>
        <w:bidi w:val="0"/>
        <w:spacing w:before="0" w:after="0"/>
        <w:jc w:val="left"/>
        <w:rPr/>
      </w:pPr>
      <w:r>
        <w:rPr/>
        <w:t> </w:t>
      </w:r>
    </w:p>
    <w:tbl>
      <w:tblPr>
        <w:tblW w:w="4997" w:type="dxa"/>
        <w:jc w:val="left"/>
        <w:tblInd w:w="0" w:type="dxa"/>
        <w:tblLayout w:type="fixed"/>
        <w:tblCellMar>
          <w:top w:w="28" w:type="dxa"/>
          <w:left w:w="28" w:type="dxa"/>
          <w:bottom w:w="28" w:type="dxa"/>
          <w:right w:w="28" w:type="dxa"/>
        </w:tblCellMar>
      </w:tblPr>
      <w:tblGrid>
        <w:gridCol w:w="3511"/>
        <w:gridCol w:w="1486"/>
      </w:tblGrid>
      <w:tr>
        <w:trPr/>
        <w:tc>
          <w:tcPr>
            <w:tcW w:w="351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51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4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84-4636604</w:t>
            </w:r>
          </w:p>
        </w:tc>
      </w:tr>
      <w:tr>
        <w:trPr/>
        <w:tc>
          <w:tcPr>
            <w:tcW w:w="351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 of</w:t>
            </w:r>
          </w:p>
          <w:p>
            <w:pPr>
              <w:pStyle w:val="TableContents"/>
              <w:bidi w:val="0"/>
              <w:spacing w:before="0" w:after="15"/>
              <w:ind w:left="0" w:right="0" w:hanging="0"/>
              <w:jc w:val="center"/>
              <w:rPr>
                <w:rFonts w:ascii="Times New Roman;serif" w:hAnsi="Times New Roman;serif"/>
                <w:b/>
                <w:sz w:val="16"/>
              </w:rPr>
            </w:pPr>
            <w:r>
              <w:rPr>
                <w:rFonts w:ascii="Times New Roman;serif" w:hAnsi="Times New Roman;serif"/>
                <w:b/>
                <w:sz w:val="16"/>
              </w:rPr>
              <w:t>incorporation or organization)</w:t>
            </w:r>
          </w:p>
        </w:tc>
        <w:tc>
          <w:tcPr>
            <w:tcW w:w="14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(I.R.S. Employer</w:t>
              <w:br/>
              <w:t>Identification No.)</w:t>
            </w:r>
          </w:p>
        </w:tc>
      </w:tr>
      <w:tr>
        <w:trPr/>
        <w:tc>
          <w:tcPr>
            <w:tcW w:w="3511" w:type="dxa"/>
            <w:tcBorders/>
            <w:tcMar>
              <w:top w:w="0" w:type="dxa"/>
              <w:left w:w="0" w:type="dxa"/>
              <w:bottom w:w="0" w:type="dxa"/>
              <w:right w:w="0" w:type="dxa"/>
            </w:tcMar>
            <w:vAlign w:val="center"/>
          </w:tcPr>
          <w:p>
            <w:pPr>
              <w:pStyle w:val="TableContents"/>
              <w:bidi w:val="0"/>
              <w:spacing w:before="0" w:after="15"/>
              <w:ind w:left="0" w:right="0" w:hanging="0"/>
              <w:jc w:val="center"/>
              <w:rPr>
                <w:rFonts w:ascii="Times New Roman;serif" w:hAnsi="Times New Roman;serif"/>
                <w:b/>
                <w:sz w:val="20"/>
              </w:rPr>
            </w:pPr>
            <w:r>
              <w:rPr>
                <w:rFonts w:ascii="Times New Roman;serif" w:hAnsi="Times New Roman;serif"/>
                <w:b/>
                <w:sz w:val="20"/>
              </w:rPr>
              <w:t>622 Third Avenue, New York, New York</w:t>
            </w:r>
          </w:p>
        </w:tc>
        <w:tc>
          <w:tcPr>
            <w:tcW w:w="1486" w:type="dxa"/>
            <w:tcBorders/>
            <w:tcMar>
              <w:top w:w="0" w:type="dxa"/>
              <w:left w:w="0" w:type="dxa"/>
              <w:bottom w:w="0" w:type="dxa"/>
              <w:right w:w="0" w:type="dxa"/>
            </w:tcMar>
            <w:vAlign w:val="center"/>
          </w:tcPr>
          <w:p>
            <w:pPr>
              <w:pStyle w:val="TableContents"/>
              <w:bidi w:val="0"/>
              <w:spacing w:before="0" w:after="15"/>
              <w:ind w:left="0" w:right="0" w:hanging="0"/>
              <w:jc w:val="center"/>
              <w:rPr>
                <w:rFonts w:ascii="Times New Roman;serif" w:hAnsi="Times New Roman;serif"/>
                <w:b/>
                <w:sz w:val="20"/>
              </w:rPr>
            </w:pPr>
            <w:r>
              <w:rPr>
                <w:rFonts w:ascii="Times New Roman;serif" w:hAnsi="Times New Roman;serif"/>
                <w:b/>
                <w:sz w:val="20"/>
              </w:rPr>
              <w:t>10017</w:t>
            </w:r>
          </w:p>
        </w:tc>
      </w:tr>
      <w:tr>
        <w:trPr/>
        <w:tc>
          <w:tcPr>
            <w:tcW w:w="351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(Zip Code)</w:t>
            </w:r>
          </w:p>
        </w:tc>
      </w:tr>
    </w:tbl>
    <w:p>
      <w:pPr>
        <w:pStyle w:val="TextBody"/>
        <w:bidi w:val="0"/>
        <w:spacing w:before="80" w:after="0"/>
        <w:jc w:val="center"/>
        <w:rPr>
          <w:rFonts w:ascii="Times New Roman;serif" w:hAnsi="Times New Roman;serif"/>
          <w:b/>
          <w:sz w:val="20"/>
        </w:rPr>
      </w:pPr>
      <w:r>
        <w:rPr>
          <w:rFonts w:ascii="Times New Roman;serif" w:hAnsi="Times New Roman;serif"/>
          <w:b/>
          <w:sz w:val="20"/>
        </w:rPr>
        <w:t>(212) 284-7206</w:t>
      </w:r>
    </w:p>
    <w:p>
      <w:pPr>
        <w:pStyle w:val="TextBody"/>
        <w:bidi w:val="0"/>
        <w:spacing w:before="80" w:after="0"/>
        <w:jc w:val="center"/>
        <w:rPr>
          <w:rFonts w:ascii="Times New Roman;serif" w:hAnsi="Times New Roman;serif"/>
          <w:b/>
          <w:sz w:val="16"/>
        </w:rPr>
      </w:pPr>
      <w:r>
        <w:rPr>
          <w:rFonts w:ascii="Times New Roman;serif" w:hAnsi="Times New Roman;serif"/>
          <w:b/>
          <w:sz w:val="16"/>
        </w:rPr>
        <w:t>(Registrant’s telephone number, including area code)</w:t>
      </w:r>
    </w:p>
    <w:p>
      <w:pPr>
        <w:pStyle w:val="TextBody"/>
        <w:bidi w:val="0"/>
        <w:spacing w:before="80" w:after="0"/>
        <w:jc w:val="center"/>
        <w:rPr>
          <w:rFonts w:ascii="Times New Roman;serif" w:hAnsi="Times New Roman;serif"/>
          <w:b/>
          <w:sz w:val="20"/>
        </w:rPr>
      </w:pPr>
      <w:r>
        <w:rPr>
          <w:rFonts w:ascii="Times New Roman;serif" w:hAnsi="Times New Roman;serif"/>
          <w:b/>
          <w:sz w:val="20"/>
        </w:rPr>
        <w:t>N/A</w:t>
      </w:r>
    </w:p>
    <w:p>
      <w:pPr>
        <w:pStyle w:val="TextBody"/>
        <w:bidi w:val="0"/>
        <w:spacing w:before="0" w:after="0"/>
        <w:jc w:val="center"/>
        <w:rPr>
          <w:rFonts w:ascii="Times New Roman" w:hAnsi="Times New Roman"/>
          <w:sz w:val="20"/>
        </w:rPr>
      </w:pPr>
      <w:r>
        <w:rPr>
          <w:rFonts w:ascii="Times New Roman;serif" w:hAnsi="Times New Roman;serif"/>
          <w:b/>
          <w:sz w:val="16"/>
        </w:rPr>
        <w:t>(Former name, former address and former fiscal year, if changed since last report)</w:t>
      </w:r>
      <w:r>
        <w:rPr>
          <w:rFonts w:ascii="Times New Roman" w:hAnsi="Times New Roman"/>
          <w:sz w:val="20"/>
        </w:rPr>
        <w:t xml:space="preserve"> </w:t>
      </w:r>
    </w:p>
    <w:p>
      <w:pPr>
        <w:pStyle w:val="TextBody"/>
        <w:pBdr>
          <w:bottom w:val="single" w:sz="4" w:space="1" w:color="000000"/>
        </w:pBdr>
        <w:bidi w:val="0"/>
        <w:spacing w:before="60" w:after="0"/>
        <w:jc w:val="center"/>
        <w:rPr/>
      </w:pPr>
      <w:r>
        <w:rPr/>
        <w:t> </w:t>
      </w:r>
    </w:p>
    <w:p>
      <w:pPr>
        <w:pStyle w:val="TextBody"/>
        <w:bidi w:val="0"/>
        <w:spacing w:before="80" w:after="0"/>
        <w:jc w:val="left"/>
        <w:rPr>
          <w:rFonts w:ascii="Times New Roman" w:hAnsi="Times New Roman"/>
          <w:sz w:val="20"/>
        </w:rPr>
      </w:pPr>
      <w:r>
        <w:rPr>
          <w:rFonts w:ascii="Times New Roman;serif" w:hAnsi="Times New Roman;serif"/>
          <w:b w:val="false"/>
          <w:sz w:val="18"/>
        </w:rPr>
        <w:t>Securities registered pursuant to Section 12(b) of the Act:</w:t>
      </w:r>
      <w:r>
        <w:rPr>
          <w:rFonts w:ascii="Times New Roman" w:hAnsi="Times New Roman"/>
          <w:sz w:val="20"/>
        </w:rPr>
        <w:t xml:space="preserve"> </w:t>
      </w:r>
    </w:p>
    <w:p>
      <w:pPr>
        <w:pStyle w:val="TextBody"/>
        <w:bidi w:val="0"/>
        <w:spacing w:before="0" w:after="0"/>
        <w:jc w:val="left"/>
        <w:rPr/>
      </w:pPr>
      <w:r>
        <w:rPr/>
        <w:t> </w:t>
      </w:r>
    </w:p>
    <w:tbl>
      <w:tblPr>
        <w:tblW w:w="7930" w:type="dxa"/>
        <w:jc w:val="left"/>
        <w:tblInd w:w="0" w:type="dxa"/>
        <w:tblLayout w:type="fixed"/>
        <w:tblCellMar>
          <w:top w:w="28" w:type="dxa"/>
          <w:left w:w="28" w:type="dxa"/>
          <w:bottom w:w="28" w:type="dxa"/>
          <w:right w:w="28" w:type="dxa"/>
        </w:tblCellMar>
      </w:tblPr>
      <w:tblGrid>
        <w:gridCol w:w="3496"/>
        <w:gridCol w:w="146"/>
        <w:gridCol w:w="826"/>
        <w:gridCol w:w="146"/>
        <w:gridCol w:w="331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49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Common stock, par value $0.0001 per share</w:t>
            </w:r>
          </w:p>
        </w:tc>
        <w:tc>
          <w:tcPr>
            <w:tcW w:w="146" w:type="dxa"/>
            <w:tcBorders/>
            <w:vAlign w:val="center"/>
          </w:tcPr>
          <w:p>
            <w:pPr>
              <w:pStyle w:val="TableContents"/>
              <w:bidi w:val="0"/>
              <w:spacing w:before="0" w:after="0"/>
              <w:ind w:left="0" w:right="0" w:hanging="0"/>
              <w:jc w:val="center"/>
              <w:rPr/>
            </w:pPr>
            <w:r>
              <w:rPr/>
              <w:t> </w:t>
            </w:r>
          </w:p>
        </w:tc>
        <w:tc>
          <w:tcPr>
            <w:tcW w:w="826" w:type="dxa"/>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TALK</w:t>
            </w:r>
          </w:p>
        </w:tc>
        <w:tc>
          <w:tcPr>
            <w:tcW w:w="146" w:type="dxa"/>
            <w:tcBorders/>
            <w:vAlign w:val="center"/>
          </w:tcPr>
          <w:p>
            <w:pPr>
              <w:pStyle w:val="TableContents"/>
              <w:bidi w:val="0"/>
              <w:spacing w:before="0" w:after="0"/>
              <w:ind w:left="0" w:right="0" w:hanging="0"/>
              <w:jc w:val="center"/>
              <w:rPr/>
            </w:pPr>
            <w:r>
              <w:rPr/>
              <w:t> </w:t>
            </w:r>
          </w:p>
        </w:tc>
        <w:tc>
          <w:tcPr>
            <w:tcW w:w="331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18"/>
              </w:rPr>
              <w:t>Nasdaq Stock Market</w:t>
            </w:r>
            <w:r>
              <w:rPr>
                <w:rFonts w:ascii="Times New Roman" w:hAnsi="Times New Roman"/>
                <w:sz w:val="20"/>
              </w:rPr>
              <w:t xml:space="preserve"> </w:t>
            </w:r>
          </w:p>
        </w:tc>
      </w:tr>
      <w:tr>
        <w:trPr/>
        <w:tc>
          <w:tcPr>
            <w:tcW w:w="349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Warrants to purchase common stock</w:t>
            </w:r>
          </w:p>
        </w:tc>
        <w:tc>
          <w:tcPr>
            <w:tcW w:w="146" w:type="dxa"/>
            <w:tcBorders/>
            <w:vAlign w:val="center"/>
          </w:tcPr>
          <w:p>
            <w:pPr>
              <w:pStyle w:val="TableContents"/>
              <w:bidi w:val="0"/>
              <w:spacing w:before="0" w:after="0"/>
              <w:ind w:left="0" w:right="0" w:hanging="0"/>
              <w:jc w:val="center"/>
              <w:rPr/>
            </w:pPr>
            <w:r>
              <w:rPr/>
              <w:t> </w:t>
            </w:r>
          </w:p>
        </w:tc>
        <w:tc>
          <w:tcPr>
            <w:tcW w:w="826" w:type="dxa"/>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TALKW</w:t>
            </w:r>
          </w:p>
        </w:tc>
        <w:tc>
          <w:tcPr>
            <w:tcW w:w="146" w:type="dxa"/>
            <w:tcBorders/>
            <w:vAlign w:val="center"/>
          </w:tcPr>
          <w:p>
            <w:pPr>
              <w:pStyle w:val="TableContents"/>
              <w:bidi w:val="0"/>
              <w:spacing w:before="0" w:after="0"/>
              <w:ind w:left="0" w:right="0" w:hanging="0"/>
              <w:jc w:val="center"/>
              <w:rPr/>
            </w:pPr>
            <w:r>
              <w:rPr/>
              <w:t> </w:t>
            </w:r>
          </w:p>
        </w:tc>
        <w:tc>
          <w:tcPr>
            <w:tcW w:w="3316" w:type="dxa"/>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 xml:space="preserve">Nasdaq Stock Market </w:t>
            </w:r>
          </w:p>
        </w:tc>
      </w:tr>
    </w:tbl>
    <w:p>
      <w:pPr>
        <w:pStyle w:val="TextBody"/>
        <w:bidi w:val="0"/>
        <w:spacing w:before="12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No ☐</w:t>
      </w:r>
    </w:p>
    <w:p>
      <w:pPr>
        <w:pStyle w:val="TextBody"/>
        <w:bidi w:val="0"/>
        <w:spacing w:before="8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No ☐</w:t>
      </w:r>
    </w:p>
    <w:p>
      <w:pPr>
        <w:pStyle w:val="TextBody"/>
        <w:bidi w:val="0"/>
        <w:spacing w:before="80" w:after="0"/>
        <w:jc w:val="left"/>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8"/>
        </w:rPr>
      </w:pPr>
      <w:r>
        <w:rPr>
          <w:rFonts w:ascii="Times New Roman;serif" w:hAnsi="Times New Roman;serif"/>
          <w:b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18"/>
        </w:rPr>
        <w:t>No ☒</w:t>
      </w:r>
    </w:p>
    <w:p>
      <w:pPr>
        <w:pStyle w:val="TextBody"/>
        <w:bidi w:val="0"/>
        <w:spacing w:before="240" w:after="0"/>
        <w:jc w:val="left"/>
        <w:rPr>
          <w:rFonts w:ascii="Times New Roman" w:hAnsi="Times New Roman"/>
          <w:sz w:val="20"/>
        </w:rPr>
      </w:pPr>
      <w:r>
        <w:rPr>
          <w:rFonts w:ascii="Times New Roman;serif" w:hAnsi="Times New Roman;serif"/>
          <w:b w:val="false"/>
          <w:sz w:val="18"/>
        </w:rPr>
        <w:t>As of July 28, 2023, the registrant had 166,510,245</w:t>
      </w:r>
      <w:r>
        <w:rPr>
          <w:rFonts w:ascii="Times New Roman" w:hAnsi="Times New Roman"/>
          <w:sz w:val="20"/>
        </w:rPr>
        <w:t xml:space="preserve"> </w:t>
      </w:r>
      <w:r>
        <w:rPr>
          <w:rFonts w:ascii="Times New Roman;serif" w:hAnsi="Times New Roman;serif"/>
          <w:b w:val="false"/>
          <w:sz w:val="18"/>
        </w:rPr>
        <w:t>shares of common stock, $0.0001 par value per share, outstanding.</w:t>
      </w:r>
    </w:p>
    <w:p>
      <w:pPr>
        <w:pStyle w:val="TextBody"/>
        <w:pBdr>
          <w:bottom w:val="double" w:sz="6" w:space="1" w:color="000000"/>
        </w:pBdr>
        <w:bidi w:val="0"/>
        <w:spacing w:before="0" w:after="0"/>
        <w:jc w:val="left"/>
        <w:rPr/>
      </w:pPr>
      <w:r>
        <w:rPr/>
        <w:t> </w:t>
      </w:r>
    </w:p>
    <w:p>
      <w:pPr>
        <w:pStyle w:val="TextBody"/>
        <w:bidi w:val="0"/>
        <w:spacing w:before="0" w:after="0"/>
        <w:jc w:val="center"/>
        <w:rPr/>
      </w:pPr>
      <w:r>
        <w:rPr/>
        <w:t> </w:t>
      </w:r>
    </w:p>
    <w:p>
      <w:pPr>
        <w:pStyle w:val="TextBody"/>
        <w:pBdr>
          <w:top w:val="single" w:sz="8" w:space="1" w:color="000000"/>
        </w:pBdr>
        <w:bidi w:val="0"/>
        <w:spacing w:before="0" w:after="0"/>
        <w:jc w:val="center"/>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_page">
        <w:r>
          <w:rPr>
            <w:rStyle w:val="InternetLink"/>
            <w:rFonts w:ascii="Times New Roman;serif" w:hAnsi="Times New Roman;serif"/>
            <w:b w:val="false"/>
            <w:sz w:val="18"/>
            <w:u w:val="single"/>
          </w:rPr>
          <w:t>Table of Contents</w:t>
        </w:r>
      </w:hyperlink>
    </w:p>
    <w:p>
      <w:pPr>
        <w:pStyle w:val="TextBody"/>
        <w:bidi w:val="0"/>
        <w:spacing w:before="0" w:after="0"/>
        <w:jc w:val="center"/>
        <w:rPr>
          <w:rFonts w:ascii="Times New Roman;serif" w:hAnsi="Times New Roman;serif"/>
          <w:b/>
          <w:sz w:val="20"/>
        </w:rPr>
      </w:pPr>
      <w:bookmarkStart w:id="2" w:name="toc_page"/>
      <w:bookmarkEnd w:id="2"/>
      <w:r>
        <w:rPr>
          <w:rFonts w:ascii="Times New Roman;serif" w:hAnsi="Times New Roman;serif"/>
          <w:b/>
          <w:sz w:val="20"/>
        </w:rPr>
        <w:t>Table of Contents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833"/>
        <w:gridCol w:w="8860"/>
        <w:gridCol w:w="512"/>
      </w:tblGrid>
      <w:tr>
        <w:trPr/>
        <w:tc>
          <w:tcPr>
            <w:tcW w:w="833" w:type="dxa"/>
            <w:tcBorders/>
            <w:vAlign w:val="center"/>
          </w:tcPr>
          <w:p>
            <w:pPr>
              <w:pStyle w:val="TableContents"/>
              <w:bidi w:val="0"/>
              <w:spacing w:before="0" w:after="283"/>
              <w:jc w:val="left"/>
              <w:rPr>
                <w:sz w:val="4"/>
                <w:szCs w:val="4"/>
              </w:rPr>
            </w:pPr>
            <w:r>
              <w:rPr>
                <w:sz w:val="4"/>
                <w:szCs w:val="4"/>
              </w:rPr>
            </w:r>
          </w:p>
        </w:tc>
        <w:tc>
          <w:tcPr>
            <w:tcW w:w="886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33"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60"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512" w:type="dxa"/>
            <w:tcBorders>
              <w:bottom w:val="single" w:sz="2" w:space="0" w:color="000000"/>
            </w:tcBorders>
            <w:tcMar>
              <w:top w:w="0" w:type="dxa"/>
              <w:left w:w="0" w:type="dxa"/>
              <w:right w:w="0" w:type="dxa"/>
            </w:tcMar>
            <w:vAlign w:val="center"/>
          </w:tcPr>
          <w:p>
            <w:pPr>
              <w:pStyle w:val="TableContents"/>
              <w:bidi w:val="0"/>
              <w:spacing w:before="0" w:after="0"/>
              <w:ind w:left="137" w:right="0" w:hanging="0"/>
              <w:jc w:val="left"/>
              <w:rPr>
                <w:rFonts w:ascii="Times New Roman;serif" w:hAnsi="Times New Roman;serif"/>
                <w:b/>
                <w:sz w:val="16"/>
              </w:rPr>
            </w:pPr>
            <w:r>
              <w:rPr>
                <w:rFonts w:ascii="Times New Roman;serif" w:hAnsi="Times New Roman;serif"/>
                <w:b/>
                <w:sz w:val="16"/>
              </w:rPr>
              <w:t>Page</w:t>
            </w:r>
          </w:p>
        </w:tc>
      </w:tr>
      <w:tr>
        <w:trPr/>
        <w:tc>
          <w:tcPr>
            <w:tcW w:w="83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886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FINANCIAL INFORMATION</w:t>
            </w:r>
          </w:p>
        </w:tc>
        <w:tc>
          <w:tcPr>
            <w:tcW w:w="512"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83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8860"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_item1">
              <w:r>
                <w:rPr>
                  <w:rStyle w:val="InternetLink"/>
                  <w:rFonts w:ascii="Times New Roman;serif" w:hAnsi="Times New Roman;serif"/>
                  <w:b w:val="false"/>
                  <w:sz w:val="20"/>
                  <w:u w:val="single"/>
                </w:rPr>
                <w:t>Financial Statements (Unaudited)</w:t>
              </w:r>
            </w:hyperlink>
          </w:p>
        </w:tc>
        <w:tc>
          <w:tcPr>
            <w:tcW w:w="512"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3</w:t>
            </w:r>
          </w:p>
        </w:tc>
      </w:tr>
      <w:tr>
        <w:trPr/>
        <w:tc>
          <w:tcPr>
            <w:tcW w:w="833"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60"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balance_sheet">
              <w:r>
                <w:rPr>
                  <w:rStyle w:val="InternetLink"/>
                  <w:rFonts w:ascii="Times New Roman;serif" w:hAnsi="Times New Roman;serif"/>
                  <w:b w:val="false"/>
                  <w:sz w:val="20"/>
                  <w:u w:val="single"/>
                </w:rPr>
                <w:t>Condensed Consolidated Balance Sheets as of June 30, 2023 (unaudited) and December 31, 2022</w:t>
              </w:r>
            </w:hyperlink>
          </w:p>
        </w:tc>
        <w:tc>
          <w:tcPr>
            <w:tcW w:w="512"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3</w:t>
            </w:r>
          </w:p>
        </w:tc>
      </w:tr>
      <w:tr>
        <w:trPr/>
        <w:tc>
          <w:tcPr>
            <w:tcW w:w="833"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60"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statements_operations">
              <w:r>
                <w:rPr>
                  <w:rStyle w:val="InternetLink"/>
                  <w:rFonts w:ascii="Times New Roman;serif" w:hAnsi="Times New Roman;serif"/>
                  <w:b w:val="false"/>
                  <w:sz w:val="20"/>
                  <w:u w:val="single"/>
                </w:rPr>
                <w:t>Condensed Consolidated Statements of Operations (unaudited) for the three and six months ended June 30, 2023 and 2022</w:t>
              </w:r>
            </w:hyperlink>
          </w:p>
        </w:tc>
        <w:tc>
          <w:tcPr>
            <w:tcW w:w="512"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4</w:t>
            </w:r>
          </w:p>
        </w:tc>
      </w:tr>
      <w:tr>
        <w:trPr/>
        <w:tc>
          <w:tcPr>
            <w:tcW w:w="833"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60"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statements_equity">
              <w:r>
                <w:rPr>
                  <w:rStyle w:val="InternetLink"/>
                  <w:rFonts w:ascii="Times New Roman;serif" w:hAnsi="Times New Roman;serif"/>
                  <w:b w:val="false"/>
                  <w:sz w:val="20"/>
                  <w:u w:val="single"/>
                </w:rPr>
                <w:t>Condensed Consolidated Statements of Stockholder’s Equity (unaudited) for the three and six months ended June 30, 2023 and 2022</w:t>
              </w:r>
            </w:hyperlink>
          </w:p>
        </w:tc>
        <w:tc>
          <w:tcPr>
            <w:tcW w:w="512"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5</w:t>
            </w:r>
          </w:p>
        </w:tc>
      </w:tr>
      <w:tr>
        <w:trPr/>
        <w:tc>
          <w:tcPr>
            <w:tcW w:w="833"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60" w:type="dxa"/>
            <w:tcBorders/>
            <w:tcMar>
              <w:top w:w="0" w:type="dxa"/>
              <w:left w:w="0" w:type="dxa"/>
              <w:bottom w:w="0" w:type="dxa"/>
              <w:right w:w="0" w:type="dxa"/>
            </w:tcMar>
            <w:vAlign w:val="center"/>
          </w:tcPr>
          <w:p>
            <w:pPr>
              <w:pStyle w:val="TableContents"/>
              <w:bidi w:val="0"/>
              <w:spacing w:before="0" w:after="0"/>
              <w:ind w:left="0" w:right="0" w:hanging="0"/>
              <w:jc w:val="both"/>
              <w:rPr/>
            </w:pPr>
            <w:hyperlink w:anchor="statements_cash_flows">
              <w:r>
                <w:rPr>
                  <w:rStyle w:val="InternetLink"/>
                  <w:rFonts w:ascii="Times New Roman;serif" w:hAnsi="Times New Roman;serif"/>
                  <w:b w:val="false"/>
                  <w:sz w:val="20"/>
                  <w:u w:val="single"/>
                </w:rPr>
                <w:t>Condensed Consolidated Statements of Cash Flows (unaudited) for the six months ended June 30, 2023 and 2022</w:t>
              </w:r>
            </w:hyperlink>
          </w:p>
        </w:tc>
        <w:tc>
          <w:tcPr>
            <w:tcW w:w="512"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6</w:t>
            </w:r>
          </w:p>
        </w:tc>
      </w:tr>
      <w:tr>
        <w:trPr/>
        <w:tc>
          <w:tcPr>
            <w:tcW w:w="833"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60"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notes_financial_statements">
              <w:r>
                <w:rPr>
                  <w:rStyle w:val="InternetLink"/>
                  <w:rFonts w:ascii="Times New Roman;serif" w:hAnsi="Times New Roman;serif"/>
                  <w:b w:val="false"/>
                  <w:sz w:val="20"/>
                  <w:u w:val="single"/>
                </w:rPr>
                <w:t>Notes to Unaudited Condensed Consolidated Financial Statements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r>
      <w:tr>
        <w:trPr/>
        <w:tc>
          <w:tcPr>
            <w:tcW w:w="83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8860"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_item2">
              <w:r>
                <w:rPr>
                  <w:rStyle w:val="InternetLink"/>
                  <w:rFonts w:ascii="Times New Roman;serif" w:hAnsi="Times New Roman;serif"/>
                  <w:b w:val="false"/>
                  <w:sz w:val="20"/>
                  <w:u w:val="single"/>
                </w:rPr>
                <w:t>Management’s Discussion and Analysis of Financial Condition and Results of Operations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r>
      <w:tr>
        <w:trPr/>
        <w:tc>
          <w:tcPr>
            <w:tcW w:w="83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8860"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_item3">
              <w:r>
                <w:rPr>
                  <w:rStyle w:val="InternetLink"/>
                  <w:rFonts w:ascii="Times New Roman;serif" w:hAnsi="Times New Roman;serif"/>
                  <w:b w:val="false"/>
                  <w:sz w:val="20"/>
                  <w:u w:val="single"/>
                </w:rPr>
                <w:t>Quantitative and Qualitative Disclosures About Market Risk</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r>
      <w:tr>
        <w:trPr/>
        <w:tc>
          <w:tcPr>
            <w:tcW w:w="83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8860"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_item4">
              <w:r>
                <w:rPr>
                  <w:rStyle w:val="InternetLink"/>
                  <w:rFonts w:ascii="Times New Roman;serif" w:hAnsi="Times New Roman;serif"/>
                  <w:b w:val="false"/>
                  <w:sz w:val="20"/>
                  <w:u w:val="single"/>
                </w:rPr>
                <w:t>Controls and Procedures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r>
      <w:tr>
        <w:trPr/>
        <w:tc>
          <w:tcPr>
            <w:tcW w:w="83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886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OTHER INFORMATION</w:t>
            </w:r>
          </w:p>
        </w:tc>
        <w:tc>
          <w:tcPr>
            <w:tcW w:w="512"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83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8860"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i_item1">
              <w:r>
                <w:rPr>
                  <w:rStyle w:val="InternetLink"/>
                  <w:rFonts w:ascii="Times New Roman;serif" w:hAnsi="Times New Roman;serif"/>
                  <w:b w:val="false"/>
                  <w:sz w:val="20"/>
                  <w:u w:val="single"/>
                </w:rPr>
                <w:t>Legal Proceedings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r>
      <w:tr>
        <w:trPr/>
        <w:tc>
          <w:tcPr>
            <w:tcW w:w="83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8860"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risk_factors">
              <w:r>
                <w:rPr>
                  <w:rStyle w:val="InternetLink"/>
                  <w:rFonts w:ascii="Times New Roman;serif" w:hAnsi="Times New Roman;serif"/>
                  <w:b w:val="false"/>
                  <w:sz w:val="20"/>
                  <w:u w:val="single"/>
                </w:rPr>
                <w:t>Risk Factors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r>
      <w:tr>
        <w:trPr/>
        <w:tc>
          <w:tcPr>
            <w:tcW w:w="83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8860"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i_item2">
              <w:r>
                <w:rPr>
                  <w:rStyle w:val="InternetLink"/>
                  <w:rFonts w:ascii="Times New Roman;serif" w:hAnsi="Times New Roman;serif"/>
                  <w:b w:val="false"/>
                  <w:sz w:val="20"/>
                  <w:u w:val="single"/>
                </w:rPr>
                <w:t>Unregistered Sales of Equity Securities and Use of Proceeds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r>
      <w:tr>
        <w:trPr/>
        <w:tc>
          <w:tcPr>
            <w:tcW w:w="83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8860"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i_item3">
              <w:r>
                <w:rPr>
                  <w:rStyle w:val="InternetLink"/>
                  <w:rFonts w:ascii="Times New Roman;serif" w:hAnsi="Times New Roman;serif"/>
                  <w:b w:val="false"/>
                  <w:sz w:val="20"/>
                  <w:u w:val="single"/>
                </w:rPr>
                <w:t>Defaults Upon Senior Securities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r>
      <w:tr>
        <w:trPr/>
        <w:tc>
          <w:tcPr>
            <w:tcW w:w="83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8860"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i_item4">
              <w:r>
                <w:rPr>
                  <w:rStyle w:val="InternetLink"/>
                  <w:rFonts w:ascii="Times New Roman;serif" w:hAnsi="Times New Roman;serif"/>
                  <w:b w:val="false"/>
                  <w:sz w:val="20"/>
                  <w:u w:val="single"/>
                </w:rPr>
                <w:t>Mine Safety Disclosures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r>
      <w:tr>
        <w:trPr/>
        <w:tc>
          <w:tcPr>
            <w:tcW w:w="83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8860"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i_item5">
              <w:r>
                <w:rPr>
                  <w:rStyle w:val="InternetLink"/>
                  <w:rFonts w:ascii="Times New Roman;serif" w:hAnsi="Times New Roman;serif"/>
                  <w:b w:val="false"/>
                  <w:sz w:val="20"/>
                  <w:u w:val="single"/>
                </w:rPr>
                <w:t>Other Information</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r>
      <w:tr>
        <w:trPr/>
        <w:tc>
          <w:tcPr>
            <w:tcW w:w="83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8860"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i_item6">
              <w:r>
                <w:rPr>
                  <w:rStyle w:val="InternetLink"/>
                  <w:rFonts w:ascii="Times New Roman;serif" w:hAnsi="Times New Roman;serif"/>
                  <w:b w:val="false"/>
                  <w:sz w:val="20"/>
                  <w:u w:val="single"/>
                </w:rPr>
                <w:t>Exhibits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r>
      <w:tr>
        <w:trPr/>
        <w:tc>
          <w:tcPr>
            <w:tcW w:w="9693"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_page">
        <w:r>
          <w:rPr>
            <w:rStyle w:val="InternetLink"/>
            <w:rFonts w:ascii="Times New Roman;serif" w:hAnsi="Times New Roman;serif"/>
            <w:b w:val="false"/>
            <w:sz w:val="18"/>
            <w:u w:val="single"/>
          </w:rPr>
          <w:t>Table of Contents</w:t>
        </w:r>
      </w:hyperlink>
    </w:p>
    <w:p>
      <w:pPr>
        <w:pStyle w:val="TextBody"/>
        <w:bidi w:val="0"/>
        <w:spacing w:before="0" w:after="0"/>
        <w:jc w:val="center"/>
        <w:rPr>
          <w:rFonts w:ascii="Times New Roman;serif" w:hAnsi="Times New Roman;serif"/>
          <w:b/>
          <w:sz w:val="20"/>
        </w:rPr>
      </w:pPr>
      <w:r>
        <w:rPr>
          <w:rFonts w:ascii="Times New Roman;serif" w:hAnsi="Times New Roman;serif"/>
          <w:b/>
          <w:sz w:val="20"/>
        </w:rPr>
        <w:t>PART I—FINANCIAL INFORMATION</w:t>
      </w:r>
    </w:p>
    <w:p>
      <w:pPr>
        <w:pStyle w:val="TextBody"/>
        <w:bidi w:val="0"/>
        <w:spacing w:before="360" w:after="0"/>
        <w:jc w:val="left"/>
        <w:rPr>
          <w:rFonts w:ascii="Times New Roman;serif" w:hAnsi="Times New Roman;serif"/>
          <w:b/>
          <w:sz w:val="20"/>
        </w:rPr>
      </w:pPr>
      <w:bookmarkStart w:id="3" w:name="i_item1"/>
      <w:bookmarkEnd w:id="3"/>
      <w:r>
        <w:rPr>
          <w:rFonts w:ascii="Times New Roman;serif" w:hAnsi="Times New Roman;serif"/>
          <w:b/>
          <w:sz w:val="20"/>
        </w:rPr>
        <w:t>Item 1. Financial Statements.</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TALKSPACE, INC.</w:t>
      </w:r>
    </w:p>
    <w:p>
      <w:pPr>
        <w:pStyle w:val="TextBody"/>
        <w:bidi w:val="0"/>
        <w:spacing w:before="0" w:after="0"/>
        <w:jc w:val="center"/>
        <w:rPr>
          <w:rFonts w:ascii="Times New Roman" w:hAnsi="Times New Roman"/>
          <w:sz w:val="20"/>
        </w:rPr>
      </w:pPr>
      <w:bookmarkStart w:id="4" w:name="balance_sheet"/>
      <w:bookmarkEnd w:id="4"/>
      <w:r>
        <w:rPr>
          <w:rFonts w:ascii="Times New Roman;serif" w:hAnsi="Times New Roman;serif"/>
          <w:b/>
          <w:sz w:val="20"/>
        </w:rPr>
        <w:t>CONDENSED CONSOLIDATED BALANCE SHEETS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263"/>
        <w:gridCol w:w="146"/>
        <w:gridCol w:w="215"/>
        <w:gridCol w:w="860"/>
        <w:gridCol w:w="166"/>
        <w:gridCol w:w="146"/>
        <w:gridCol w:w="240"/>
        <w:gridCol w:w="956"/>
        <w:gridCol w:w="213"/>
      </w:tblGrid>
      <w:tr>
        <w:trPr/>
        <w:tc>
          <w:tcPr>
            <w:tcW w:w="72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26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0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263" w:type="dxa"/>
            <w:tcBorders/>
            <w:vAlign w:val="center"/>
          </w:tcPr>
          <w:p>
            <w:pPr>
              <w:pStyle w:val="TableContents"/>
              <w:bidi w:val="0"/>
              <w:spacing w:before="0" w:after="0"/>
              <w:ind w:left="0" w:right="0" w:hanging="0"/>
              <w:jc w:val="left"/>
              <w:rPr>
                <w:rFonts w:ascii="Times New Roman;serif" w:hAnsi="Times New Roman;serif"/>
                <w:b w:val="false"/>
                <w:i/>
                <w:sz w:val="18"/>
              </w:rPr>
            </w:pPr>
            <w:r>
              <w:rPr>
                <w:rFonts w:ascii="Times New Roman;serif" w:hAnsi="Times New Roman;serif"/>
                <w:b w:val="false"/>
                <w:i/>
                <w:sz w:val="18"/>
              </w:rPr>
              <w:t>(U.S. dollars in thousands, except share and per share data)</w:t>
            </w:r>
          </w:p>
        </w:tc>
        <w:tc>
          <w:tcPr>
            <w:tcW w:w="146" w:type="dxa"/>
            <w:tcBorders/>
            <w:vAlign w:val="center"/>
          </w:tcPr>
          <w:p>
            <w:pPr>
              <w:pStyle w:val="TableContents"/>
              <w:bidi w:val="0"/>
              <w:spacing w:before="0" w:after="0"/>
              <w:ind w:left="0" w:right="0" w:hanging="0"/>
              <w:jc w:val="right"/>
              <w:rPr/>
            </w:pPr>
            <w:r>
              <w:rPr/>
              <w:t> </w:t>
            </w:r>
          </w:p>
        </w:tc>
        <w:tc>
          <w:tcPr>
            <w:tcW w:w="107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96" w:type="dxa"/>
            <w:gridSpan w:val="2"/>
            <w:tcBorders/>
            <w:vAlign w:val="center"/>
          </w:tcPr>
          <w:p>
            <w:pPr>
              <w:pStyle w:val="TableContents"/>
              <w:bidi w:val="0"/>
              <w:spacing w:before="0" w:after="0"/>
              <w:ind w:left="0" w:right="0" w:hanging="0"/>
              <w:jc w:val="center"/>
              <w:rPr/>
            </w:pPr>
            <w:r>
              <w:rPr/>
              <w:t> </w:t>
            </w:r>
          </w:p>
        </w:tc>
        <w:tc>
          <w:tcPr>
            <w:tcW w:w="213" w:type="dxa"/>
            <w:tcBorders/>
            <w:vAlign w:val="center"/>
          </w:tcPr>
          <w:p>
            <w:pPr>
              <w:pStyle w:val="TableContents"/>
              <w:bidi w:val="0"/>
              <w:spacing w:before="0" w:after="0"/>
              <w:ind w:left="0" w:right="0" w:hanging="0"/>
              <w:jc w:val="center"/>
              <w:rPr/>
            </w:pPr>
            <w:r>
              <w:rPr/>
              <w:t> </w:t>
            </w:r>
          </w:p>
        </w:tc>
      </w:tr>
      <w:tr>
        <w:trPr/>
        <w:tc>
          <w:tcPr>
            <w:tcW w:w="726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ASSETS</w:t>
            </w:r>
          </w:p>
        </w:tc>
        <w:tc>
          <w:tcPr>
            <w:tcW w:w="146" w:type="dxa"/>
            <w:tcBorders/>
            <w:vAlign w:val="center"/>
          </w:tcPr>
          <w:p>
            <w:pPr>
              <w:pStyle w:val="TableContents"/>
              <w:bidi w:val="0"/>
              <w:spacing w:before="0" w:after="0"/>
              <w:ind w:left="0" w:right="0" w:hanging="0"/>
              <w:jc w:val="right"/>
              <w:rPr/>
            </w:pPr>
            <w:r>
              <w:rPr/>
              <w:t> </w:t>
            </w:r>
          </w:p>
        </w:tc>
        <w:tc>
          <w:tcPr>
            <w:tcW w:w="107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96" w:type="dxa"/>
            <w:gridSpan w:val="2"/>
            <w:tcBorders/>
            <w:vAlign w:val="center"/>
          </w:tcPr>
          <w:p>
            <w:pPr>
              <w:pStyle w:val="TableContents"/>
              <w:bidi w:val="0"/>
              <w:spacing w:before="0" w:after="0"/>
              <w:ind w:left="0" w:right="0" w:hanging="0"/>
              <w:jc w:val="center"/>
              <w:rPr>
                <w:rFonts w:cs="Times New Roman;serif"/>
                <w:bCs w:val="false"/>
                <w:szCs w:val="20"/>
              </w:rPr>
            </w:pPr>
            <w:r>
              <w:rPr>
                <w:rFonts w:cs="Times New Roman;serif"/>
                <w:bCs w:val="false"/>
                <w:szCs w:val="20"/>
              </w:rPr>
              <w:t>﻿</w:t>
            </w:r>
          </w:p>
        </w:tc>
        <w:tc>
          <w:tcPr>
            <w:tcW w:w="213" w:type="dxa"/>
            <w:tcBorders/>
            <w:vAlign w:val="center"/>
          </w:tcPr>
          <w:p>
            <w:pPr>
              <w:pStyle w:val="TableContents"/>
              <w:bidi w:val="0"/>
              <w:spacing w:before="0" w:after="0"/>
              <w:ind w:left="0" w:right="0" w:hanging="0"/>
              <w:jc w:val="center"/>
              <w:rPr/>
            </w:pPr>
            <w:r>
              <w:rPr/>
              <w:t> </w:t>
            </w:r>
          </w:p>
        </w:tc>
      </w:tr>
      <w:tr>
        <w:trPr/>
        <w:tc>
          <w:tcPr>
            <w:tcW w:w="726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right"/>
              <w:rPr/>
            </w:pPr>
            <w:r>
              <w:rPr/>
              <w:t> </w:t>
            </w:r>
          </w:p>
        </w:tc>
        <w:tc>
          <w:tcPr>
            <w:tcW w:w="1075" w:type="dxa"/>
            <w:gridSpan w:val="2"/>
            <w:tcBorders/>
            <w:vAlign w:val="center"/>
          </w:tcPr>
          <w:p>
            <w:pPr>
              <w:pStyle w:val="TableContents"/>
              <w:bidi w:val="0"/>
              <w:spacing w:before="0" w:after="0"/>
              <w:ind w:left="0" w:right="0" w:hanging="0"/>
              <w:jc w:val="center"/>
              <w:rPr>
                <w:rFonts w:cs="Times New Roman;serif"/>
                <w:bCs w:val="false"/>
                <w:szCs w:val="20"/>
              </w:rPr>
            </w:pPr>
            <w:r>
              <w:rPr>
                <w:rFonts w:cs="Times New Roman;serif"/>
                <w:bCs w:val="false"/>
                <w:szCs w:val="20"/>
              </w:rPr>
              <w:t>﻿</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96" w:type="dxa"/>
            <w:gridSpan w:val="2"/>
            <w:tcBorders/>
            <w:vAlign w:val="center"/>
          </w:tcPr>
          <w:p>
            <w:pPr>
              <w:pStyle w:val="TableContents"/>
              <w:bidi w:val="0"/>
              <w:spacing w:before="0" w:after="0"/>
              <w:ind w:left="0" w:right="0" w:hanging="0"/>
              <w:jc w:val="center"/>
              <w:rPr>
                <w:rFonts w:cs="Times New Roman;serif"/>
                <w:bCs w:val="false"/>
                <w:szCs w:val="20"/>
              </w:rPr>
            </w:pPr>
            <w:r>
              <w:rPr>
                <w:rFonts w:cs="Times New Roman;serif"/>
                <w:bCs w:val="false"/>
                <w:szCs w:val="20"/>
              </w:rPr>
              <w:t>﻿</w:t>
            </w:r>
          </w:p>
        </w:tc>
        <w:tc>
          <w:tcPr>
            <w:tcW w:w="213" w:type="dxa"/>
            <w:tcBorders/>
            <w:vAlign w:val="center"/>
          </w:tcPr>
          <w:p>
            <w:pPr>
              <w:pStyle w:val="TableContents"/>
              <w:bidi w:val="0"/>
              <w:spacing w:before="0" w:after="0"/>
              <w:ind w:left="0" w:right="0" w:hanging="0"/>
              <w:jc w:val="center"/>
              <w:rPr/>
            </w:pPr>
            <w:r>
              <w:rPr/>
              <w:t> </w:t>
            </w:r>
          </w:p>
        </w:tc>
      </w:tr>
      <w:tr>
        <w:trPr/>
        <w:tc>
          <w:tcPr>
            <w:tcW w:w="726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right"/>
              <w:rPr/>
            </w:pPr>
            <w:r>
              <w:rPr/>
              <w:t> </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126,104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138,545</w:t>
            </w:r>
          </w:p>
        </w:tc>
        <w:tc>
          <w:tcPr>
            <w:tcW w:w="213" w:type="dxa"/>
            <w:tcBorders/>
            <w:vAlign w:val="center"/>
          </w:tcPr>
          <w:p>
            <w:pPr>
              <w:pStyle w:val="TableContents"/>
              <w:bidi w:val="0"/>
              <w:spacing w:before="0" w:after="0"/>
              <w:ind w:left="0" w:right="0" w:hanging="0"/>
              <w:jc w:val="left"/>
              <w:rPr/>
            </w:pPr>
            <w:r>
              <w:rPr/>
              <w:t> </w:t>
            </w:r>
          </w:p>
        </w:tc>
      </w:tr>
      <w:tr>
        <w:trPr/>
        <w:tc>
          <w:tcPr>
            <w:tcW w:w="726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 net</w:t>
            </w:r>
          </w:p>
        </w:tc>
        <w:tc>
          <w:tcPr>
            <w:tcW w:w="146" w:type="dxa"/>
            <w:tcBorders/>
            <w:vAlign w:val="center"/>
          </w:tcPr>
          <w:p>
            <w:pPr>
              <w:pStyle w:val="TableContents"/>
              <w:bidi w:val="0"/>
              <w:spacing w:before="0" w:after="0"/>
              <w:ind w:left="0" w:right="0" w:hanging="0"/>
              <w:jc w:val="right"/>
              <w:rPr/>
            </w:pPr>
            <w:r>
              <w:rPr/>
              <w:t> </w:t>
            </w:r>
          </w:p>
        </w:tc>
        <w:tc>
          <w:tcPr>
            <w:tcW w:w="215" w:type="dxa"/>
            <w:tcBorders/>
            <w:vAlign w:val="center"/>
          </w:tcPr>
          <w:p>
            <w:pPr>
              <w:pStyle w:val="TableContents"/>
              <w:bidi w:val="0"/>
              <w:spacing w:before="0" w:after="0"/>
              <w:ind w:left="0" w:right="0" w:hanging="0"/>
              <w:jc w:val="lef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9,640</w:t>
            </w:r>
          </w:p>
        </w:tc>
        <w:tc>
          <w:tcPr>
            <w:tcW w:w="213" w:type="dxa"/>
            <w:tcBorders/>
            <w:vAlign w:val="center"/>
          </w:tcPr>
          <w:p>
            <w:pPr>
              <w:pStyle w:val="TableContents"/>
              <w:bidi w:val="0"/>
              <w:spacing w:before="0" w:after="0"/>
              <w:ind w:left="0" w:right="0" w:hanging="0"/>
              <w:jc w:val="left"/>
              <w:rPr/>
            </w:pPr>
            <w:r>
              <w:rPr/>
              <w:t> </w:t>
            </w:r>
          </w:p>
        </w:tc>
      </w:tr>
      <w:tr>
        <w:trPr/>
        <w:tc>
          <w:tcPr>
            <w:tcW w:w="726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current assets</w:t>
            </w:r>
          </w:p>
        </w:tc>
        <w:tc>
          <w:tcPr>
            <w:tcW w:w="146" w:type="dxa"/>
            <w:tcBorders/>
            <w:vAlign w:val="center"/>
          </w:tcPr>
          <w:p>
            <w:pPr>
              <w:pStyle w:val="TableContents"/>
              <w:bidi w:val="0"/>
              <w:spacing w:before="0" w:after="0"/>
              <w:ind w:left="0" w:right="0" w:hanging="0"/>
              <w:jc w:val="righ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4,372</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263" w:type="dxa"/>
            <w:tcBorders/>
            <w:vAlign w:val="center"/>
          </w:tcPr>
          <w:p>
            <w:pPr>
              <w:pStyle w:val="TableContents"/>
              <w:bidi w:val="0"/>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Total current assets</w:t>
            </w:r>
          </w:p>
        </w:tc>
        <w:tc>
          <w:tcPr>
            <w:tcW w:w="146" w:type="dxa"/>
            <w:tcBorders/>
            <w:vAlign w:val="center"/>
          </w:tcPr>
          <w:p>
            <w:pPr>
              <w:pStyle w:val="TableContents"/>
              <w:bidi w:val="0"/>
              <w:spacing w:before="0" w:after="0"/>
              <w:ind w:left="0" w:right="0" w:hanging="0"/>
              <w:jc w:val="righ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137,444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152,557</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26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right"/>
              <w:rPr/>
            </w:pPr>
            <w:r>
              <w:rPr/>
              <w:t> </w:t>
            </w:r>
          </w:p>
        </w:tc>
        <w:tc>
          <w:tcPr>
            <w:tcW w:w="215" w:type="dxa"/>
            <w:tcBorders/>
            <w:vAlign w:val="center"/>
          </w:tcPr>
          <w:p>
            <w:pPr>
              <w:pStyle w:val="TableContents"/>
              <w:bidi w:val="0"/>
              <w:spacing w:before="0" w:after="0"/>
              <w:ind w:left="0" w:right="0" w:hanging="0"/>
              <w:jc w:val="lef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677</w:t>
            </w:r>
          </w:p>
        </w:tc>
        <w:tc>
          <w:tcPr>
            <w:tcW w:w="213" w:type="dxa"/>
            <w:tcBorders/>
            <w:vAlign w:val="center"/>
          </w:tcPr>
          <w:p>
            <w:pPr>
              <w:pStyle w:val="TableContents"/>
              <w:bidi w:val="0"/>
              <w:spacing w:before="0" w:after="0"/>
              <w:ind w:left="0" w:right="0" w:hanging="0"/>
              <w:jc w:val="left"/>
              <w:rPr/>
            </w:pPr>
            <w:r>
              <w:rPr/>
              <w:t> </w:t>
            </w:r>
          </w:p>
        </w:tc>
      </w:tr>
      <w:tr>
        <w:trPr/>
        <w:tc>
          <w:tcPr>
            <w:tcW w:w="726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net</w:t>
            </w:r>
          </w:p>
        </w:tc>
        <w:tc>
          <w:tcPr>
            <w:tcW w:w="146" w:type="dxa"/>
            <w:tcBorders/>
            <w:vAlign w:val="center"/>
          </w:tcPr>
          <w:p>
            <w:pPr>
              <w:pStyle w:val="TableContents"/>
              <w:bidi w:val="0"/>
              <w:spacing w:before="0" w:after="0"/>
              <w:ind w:left="0" w:right="0" w:hanging="0"/>
              <w:jc w:val="right"/>
              <w:rPr/>
            </w:pPr>
            <w:r>
              <w:rPr/>
              <w:t> </w:t>
            </w:r>
          </w:p>
        </w:tc>
        <w:tc>
          <w:tcPr>
            <w:tcW w:w="215" w:type="dxa"/>
            <w:tcBorders/>
            <w:vAlign w:val="center"/>
          </w:tcPr>
          <w:p>
            <w:pPr>
              <w:pStyle w:val="TableContents"/>
              <w:bidi w:val="0"/>
              <w:spacing w:before="0" w:after="0"/>
              <w:ind w:left="0" w:right="0" w:hanging="0"/>
              <w:jc w:val="lef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2,529</w:t>
            </w:r>
          </w:p>
        </w:tc>
        <w:tc>
          <w:tcPr>
            <w:tcW w:w="213" w:type="dxa"/>
            <w:tcBorders/>
            <w:vAlign w:val="center"/>
          </w:tcPr>
          <w:p>
            <w:pPr>
              <w:pStyle w:val="TableContents"/>
              <w:bidi w:val="0"/>
              <w:spacing w:before="0" w:after="0"/>
              <w:ind w:left="0" w:right="0" w:hanging="0"/>
              <w:jc w:val="left"/>
              <w:rPr/>
            </w:pPr>
            <w:r>
              <w:rPr/>
              <w:t> </w:t>
            </w:r>
          </w:p>
        </w:tc>
      </w:tr>
      <w:tr>
        <w:trPr/>
        <w:tc>
          <w:tcPr>
            <w:tcW w:w="726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long-term assets</w:t>
            </w:r>
          </w:p>
        </w:tc>
        <w:tc>
          <w:tcPr>
            <w:tcW w:w="146" w:type="dxa"/>
            <w:tcBorders/>
            <w:vAlign w:val="center"/>
          </w:tcPr>
          <w:p>
            <w:pPr>
              <w:pStyle w:val="TableContents"/>
              <w:bidi w:val="0"/>
              <w:spacing w:before="0" w:after="0"/>
              <w:ind w:left="0" w:right="0" w:hanging="0"/>
              <w:jc w:val="righ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491</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263" w:type="dxa"/>
            <w:tcBorders/>
            <w:vAlign w:val="center"/>
          </w:tcPr>
          <w:p>
            <w:pPr>
              <w:pStyle w:val="TableContents"/>
              <w:bidi w:val="0"/>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Total assets</w:t>
            </w:r>
          </w:p>
        </w:tc>
        <w:tc>
          <w:tcPr>
            <w:tcW w:w="146" w:type="dxa"/>
            <w:tcBorders/>
            <w:vAlign w:val="center"/>
          </w:tcPr>
          <w:p>
            <w:pPr>
              <w:pStyle w:val="TableContents"/>
              <w:bidi w:val="0"/>
              <w:spacing w:before="0" w:after="0"/>
              <w:ind w:left="0" w:right="0" w:hanging="0"/>
              <w:jc w:val="right"/>
              <w:rPr/>
            </w:pPr>
            <w:r>
              <w:rPr/>
              <w:t> </w:t>
            </w:r>
          </w:p>
        </w:tc>
        <w:tc>
          <w:tcPr>
            <w:tcW w:w="2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140,521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156,254</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26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LIABILITIES AND STOCKHOLDERS’ EQUITY</w:t>
            </w:r>
          </w:p>
        </w:tc>
        <w:tc>
          <w:tcPr>
            <w:tcW w:w="146" w:type="dxa"/>
            <w:tcBorders/>
            <w:vAlign w:val="center"/>
          </w:tcPr>
          <w:p>
            <w:pPr>
              <w:pStyle w:val="TableContents"/>
              <w:bidi w:val="0"/>
              <w:spacing w:before="0" w:after="0"/>
              <w:ind w:left="0" w:right="0" w:hanging="0"/>
              <w:jc w:val="right"/>
              <w:rPr/>
            </w:pPr>
            <w:r>
              <w:rPr/>
              <w:t> </w:t>
            </w:r>
          </w:p>
        </w:tc>
        <w:tc>
          <w:tcPr>
            <w:tcW w:w="1075" w:type="dxa"/>
            <w:gridSpan w:val="2"/>
            <w:tcBorders/>
            <w:vAlign w:val="center"/>
          </w:tcPr>
          <w:p>
            <w:pPr>
              <w:pStyle w:val="TableContents"/>
              <w:bidi w:val="0"/>
              <w:spacing w:before="0" w:after="0"/>
              <w:ind w:left="0" w:right="0" w:hanging="0"/>
              <w:jc w:val="right"/>
              <w:rPr>
                <w:rFonts w:cs="Times New Roman;serif"/>
                <w:bCs w:val="false"/>
                <w:szCs w:val="20"/>
              </w:rPr>
            </w:pPr>
            <w:r>
              <w:rPr>
                <w:rFonts w:cs="Times New Roman;serif"/>
                <w:bCs w:val="false"/>
                <w:szCs w:val="20"/>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96" w:type="dxa"/>
            <w:gridSpan w:val="2"/>
            <w:tcBorders/>
            <w:vAlign w:val="center"/>
          </w:tcPr>
          <w:p>
            <w:pPr>
              <w:pStyle w:val="TableContents"/>
              <w:bidi w:val="0"/>
              <w:spacing w:before="0" w:after="0"/>
              <w:ind w:left="0" w:right="0" w:hanging="0"/>
              <w:jc w:val="right"/>
              <w:rPr>
                <w:rFonts w:cs="Times New Roman;serif"/>
                <w:bCs w:val="false"/>
                <w:szCs w:val="20"/>
              </w:rPr>
            </w:pPr>
            <w:r>
              <w:rPr>
                <w:rFonts w:cs="Times New Roman;serif"/>
                <w:bCs w:val="false"/>
                <w:szCs w:val="20"/>
              </w:rPr>
              <w:t>﻿</w:t>
            </w:r>
          </w:p>
        </w:tc>
        <w:tc>
          <w:tcPr>
            <w:tcW w:w="213" w:type="dxa"/>
            <w:tcBorders/>
            <w:vAlign w:val="center"/>
          </w:tcPr>
          <w:p>
            <w:pPr>
              <w:pStyle w:val="TableContents"/>
              <w:bidi w:val="0"/>
              <w:spacing w:before="0" w:after="0"/>
              <w:ind w:left="0" w:right="0" w:hanging="0"/>
              <w:jc w:val="right"/>
              <w:rPr/>
            </w:pPr>
            <w:r>
              <w:rPr/>
              <w:t> </w:t>
            </w:r>
          </w:p>
        </w:tc>
      </w:tr>
      <w:tr>
        <w:trPr/>
        <w:tc>
          <w:tcPr>
            <w:tcW w:w="726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1075" w:type="dxa"/>
            <w:gridSpan w:val="2"/>
            <w:tcBorders/>
            <w:vAlign w:val="center"/>
          </w:tcPr>
          <w:p>
            <w:pPr>
              <w:pStyle w:val="TableContents"/>
              <w:bidi w:val="0"/>
              <w:spacing w:before="0" w:after="0"/>
              <w:ind w:left="0" w:right="0" w:hanging="0"/>
              <w:jc w:val="left"/>
              <w:rPr>
                <w:rFonts w:cs="Times New Roman;serif"/>
                <w:bCs w:val="false"/>
                <w:szCs w:val="20"/>
              </w:rPr>
            </w:pPr>
            <w:r>
              <w:rPr>
                <w:rFonts w:cs="Times New Roman;serif"/>
                <w:bCs w:val="false"/>
                <w:szCs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96" w:type="dxa"/>
            <w:gridSpan w:val="2"/>
            <w:tcBorders/>
            <w:vAlign w:val="center"/>
          </w:tcPr>
          <w:p>
            <w:pPr>
              <w:pStyle w:val="TableContents"/>
              <w:bidi w:val="0"/>
              <w:spacing w:before="0" w:after="0"/>
              <w:ind w:left="0" w:right="0" w:hanging="0"/>
              <w:jc w:val="right"/>
              <w:rPr>
                <w:rFonts w:cs="Times New Roman;serif"/>
                <w:bCs w:val="false"/>
                <w:szCs w:val="20"/>
              </w:rPr>
            </w:pPr>
            <w:r>
              <w:rPr>
                <w:rFonts w:cs="Times New Roman;serif"/>
                <w:bCs w:val="false"/>
                <w:szCs w:val="20"/>
              </w:rPr>
              <w:t>﻿</w:t>
            </w:r>
          </w:p>
        </w:tc>
        <w:tc>
          <w:tcPr>
            <w:tcW w:w="213" w:type="dxa"/>
            <w:tcBorders/>
            <w:vAlign w:val="center"/>
          </w:tcPr>
          <w:p>
            <w:pPr>
              <w:pStyle w:val="TableContents"/>
              <w:bidi w:val="0"/>
              <w:spacing w:before="0" w:after="0"/>
              <w:ind w:left="0" w:right="0" w:hanging="0"/>
              <w:jc w:val="right"/>
              <w:rPr/>
            </w:pPr>
            <w:r>
              <w:rPr/>
              <w:t> </w:t>
            </w:r>
          </w:p>
        </w:tc>
      </w:tr>
      <w:tr>
        <w:trPr/>
        <w:tc>
          <w:tcPr>
            <w:tcW w:w="726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right"/>
              <w:rPr/>
            </w:pPr>
            <w:r>
              <w:rPr/>
              <w:t> </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6,461</w:t>
            </w:r>
          </w:p>
        </w:tc>
        <w:tc>
          <w:tcPr>
            <w:tcW w:w="213" w:type="dxa"/>
            <w:tcBorders/>
            <w:vAlign w:val="center"/>
          </w:tcPr>
          <w:p>
            <w:pPr>
              <w:pStyle w:val="TableContents"/>
              <w:bidi w:val="0"/>
              <w:spacing w:before="0" w:after="0"/>
              <w:ind w:left="0" w:right="0" w:hanging="0"/>
              <w:jc w:val="left"/>
              <w:rPr/>
            </w:pPr>
            <w:r>
              <w:rPr/>
              <w:t> </w:t>
            </w:r>
          </w:p>
        </w:tc>
      </w:tr>
      <w:tr>
        <w:trPr/>
        <w:tc>
          <w:tcPr>
            <w:tcW w:w="726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revenues</w:t>
            </w:r>
          </w:p>
        </w:tc>
        <w:tc>
          <w:tcPr>
            <w:tcW w:w="146" w:type="dxa"/>
            <w:tcBorders/>
            <w:vAlign w:val="center"/>
          </w:tcPr>
          <w:p>
            <w:pPr>
              <w:pStyle w:val="TableContents"/>
              <w:bidi w:val="0"/>
              <w:spacing w:before="0" w:after="0"/>
              <w:ind w:left="0" w:right="0" w:hanging="0"/>
              <w:jc w:val="right"/>
              <w:rPr/>
            </w:pPr>
            <w:r>
              <w:rPr/>
              <w:t> </w:t>
            </w:r>
          </w:p>
        </w:tc>
        <w:tc>
          <w:tcPr>
            <w:tcW w:w="215" w:type="dxa"/>
            <w:tcBorders/>
            <w:vAlign w:val="center"/>
          </w:tcPr>
          <w:p>
            <w:pPr>
              <w:pStyle w:val="TableContents"/>
              <w:bidi w:val="0"/>
              <w:spacing w:before="0" w:after="0"/>
              <w:ind w:left="0" w:right="0" w:hanging="0"/>
              <w:jc w:val="lef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4,355</w:t>
            </w:r>
          </w:p>
        </w:tc>
        <w:tc>
          <w:tcPr>
            <w:tcW w:w="213" w:type="dxa"/>
            <w:tcBorders/>
            <w:vAlign w:val="center"/>
          </w:tcPr>
          <w:p>
            <w:pPr>
              <w:pStyle w:val="TableContents"/>
              <w:bidi w:val="0"/>
              <w:spacing w:before="0" w:after="0"/>
              <w:ind w:left="0" w:right="0" w:hanging="0"/>
              <w:jc w:val="left"/>
              <w:rPr/>
            </w:pPr>
            <w:r>
              <w:rPr/>
              <w:t> </w:t>
            </w:r>
          </w:p>
        </w:tc>
      </w:tr>
      <w:tr>
        <w:trPr/>
        <w:tc>
          <w:tcPr>
            <w:tcW w:w="726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vAlign w:val="center"/>
          </w:tcPr>
          <w:p>
            <w:pPr>
              <w:pStyle w:val="TableContents"/>
              <w:bidi w:val="0"/>
              <w:spacing w:before="0" w:after="0"/>
              <w:ind w:left="0" w:right="0" w:hanging="0"/>
              <w:jc w:val="righ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10,444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16,502</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263" w:type="dxa"/>
            <w:tcBorders/>
            <w:vAlign w:val="center"/>
          </w:tcPr>
          <w:p>
            <w:pPr>
              <w:pStyle w:val="TableContents"/>
              <w:bidi w:val="0"/>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Total current liabilities</w:t>
            </w:r>
          </w:p>
        </w:tc>
        <w:tc>
          <w:tcPr>
            <w:tcW w:w="146" w:type="dxa"/>
            <w:tcBorders/>
            <w:vAlign w:val="center"/>
          </w:tcPr>
          <w:p>
            <w:pPr>
              <w:pStyle w:val="TableContents"/>
              <w:bidi w:val="0"/>
              <w:spacing w:before="0" w:after="0"/>
              <w:ind w:left="0" w:right="0" w:hanging="0"/>
              <w:jc w:val="righ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27,318</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26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Warrant liabilities</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939</w:t>
            </w:r>
          </w:p>
        </w:tc>
        <w:tc>
          <w:tcPr>
            <w:tcW w:w="213" w:type="dxa"/>
            <w:tcBorders/>
            <w:vAlign w:val="center"/>
          </w:tcPr>
          <w:p>
            <w:pPr>
              <w:pStyle w:val="TableContents"/>
              <w:bidi w:val="0"/>
              <w:spacing w:before="0" w:after="0"/>
              <w:ind w:left="0" w:right="0" w:hanging="0"/>
              <w:jc w:val="left"/>
              <w:rPr/>
            </w:pPr>
            <w:r>
              <w:rPr/>
              <w:t> </w:t>
            </w:r>
          </w:p>
        </w:tc>
      </w:tr>
      <w:tr>
        <w:trPr/>
        <w:tc>
          <w:tcPr>
            <w:tcW w:w="726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long-term liabilities</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461</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263" w:type="dxa"/>
            <w:tcBorders/>
            <w:vAlign w:val="center"/>
          </w:tcPr>
          <w:p>
            <w:pPr>
              <w:pStyle w:val="TableContents"/>
              <w:bidi w:val="0"/>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Total liabilities</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28,718</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26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 (Note 5)</w:t>
            </w:r>
          </w:p>
        </w:tc>
        <w:tc>
          <w:tcPr>
            <w:tcW w:w="146" w:type="dxa"/>
            <w:tcBorders/>
            <w:vAlign w:val="center"/>
          </w:tcPr>
          <w:p>
            <w:pPr>
              <w:pStyle w:val="TableContents"/>
              <w:bidi w:val="0"/>
              <w:spacing w:before="0" w:after="0"/>
              <w:ind w:left="0" w:right="0" w:hanging="0"/>
              <w:jc w:val="left"/>
              <w:rPr/>
            </w:pPr>
            <w:r>
              <w:rPr/>
              <w:t> </w:t>
            </w:r>
          </w:p>
        </w:tc>
        <w:tc>
          <w:tcPr>
            <w:tcW w:w="107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96" w:type="dxa"/>
            <w:gridSpan w:val="2"/>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right"/>
              <w:rPr/>
            </w:pPr>
            <w:r>
              <w:rPr/>
              <w:t> </w:t>
            </w:r>
          </w:p>
        </w:tc>
      </w:tr>
      <w:tr>
        <w:trPr/>
        <w:tc>
          <w:tcPr>
            <w:tcW w:w="726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vAlign w:val="center"/>
          </w:tcPr>
          <w:p>
            <w:pPr>
              <w:pStyle w:val="TableContents"/>
              <w:bidi w:val="0"/>
              <w:spacing w:before="0" w:after="0"/>
              <w:ind w:left="0" w:right="0" w:hanging="0"/>
              <w:jc w:val="right"/>
              <w:rPr/>
            </w:pPr>
            <w:r>
              <w:rPr/>
              <w:t> </w:t>
            </w:r>
          </w:p>
        </w:tc>
        <w:tc>
          <w:tcPr>
            <w:tcW w:w="1075" w:type="dxa"/>
            <w:gridSpan w:val="2"/>
            <w:tcBorders/>
            <w:vAlign w:val="center"/>
          </w:tcPr>
          <w:p>
            <w:pPr>
              <w:pStyle w:val="TableContents"/>
              <w:bidi w:val="0"/>
              <w:spacing w:before="0" w:after="0"/>
              <w:ind w:left="0" w:right="0" w:hanging="0"/>
              <w:jc w:val="right"/>
              <w:rPr>
                <w:rFonts w:cs="Times New Roman;serif"/>
                <w:bCs w:val="false"/>
                <w:szCs w:val="20"/>
              </w:rPr>
            </w:pPr>
            <w:r>
              <w:rPr>
                <w:rFonts w:cs="Times New Roman;serif"/>
                <w:bCs w:val="false"/>
                <w:szCs w:val="20"/>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96" w:type="dxa"/>
            <w:gridSpan w:val="2"/>
            <w:tcBorders/>
            <w:vAlign w:val="center"/>
          </w:tcPr>
          <w:p>
            <w:pPr>
              <w:pStyle w:val="TableContents"/>
              <w:bidi w:val="0"/>
              <w:spacing w:before="0" w:after="0"/>
              <w:ind w:left="0" w:right="0" w:hanging="0"/>
              <w:jc w:val="right"/>
              <w:rPr>
                <w:rFonts w:cs="Times New Roman;serif"/>
                <w:bCs w:val="false"/>
                <w:szCs w:val="20"/>
              </w:rPr>
            </w:pPr>
            <w:r>
              <w:rPr>
                <w:rFonts w:cs="Times New Roman;serif"/>
                <w:bCs w:val="false"/>
                <w:szCs w:val="20"/>
              </w:rPr>
              <w:t>﻿</w:t>
            </w:r>
          </w:p>
        </w:tc>
        <w:tc>
          <w:tcPr>
            <w:tcW w:w="213" w:type="dxa"/>
            <w:tcBorders/>
            <w:vAlign w:val="center"/>
          </w:tcPr>
          <w:p>
            <w:pPr>
              <w:pStyle w:val="TableContents"/>
              <w:bidi w:val="0"/>
              <w:spacing w:before="0" w:after="0"/>
              <w:ind w:left="0" w:right="0" w:hanging="0"/>
              <w:jc w:val="right"/>
              <w:rPr/>
            </w:pPr>
            <w:r>
              <w:rPr/>
              <w:t> </w:t>
            </w:r>
          </w:p>
        </w:tc>
      </w:tr>
      <w:tr>
        <w:trPr/>
        <w:tc>
          <w:tcPr>
            <w:tcW w:w="7263"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Common stock of $0.0001</w:t>
            </w:r>
            <w:r>
              <w:rPr>
                <w:rFonts w:ascii="Times New Roman" w:hAnsi="Times New Roman"/>
                <w:sz w:val="20"/>
              </w:rPr>
              <w:t> </w:t>
            </w:r>
            <w:r>
              <w:rPr>
                <w:rFonts w:ascii="Times New Roman;serif" w:hAnsi="Times New Roman;serif"/>
                <w:b w:val="false"/>
                <w:sz w:val="20"/>
              </w:rPr>
              <w:t>par value — Authorized: 1,000,000,000</w:t>
            </w:r>
            <w:r>
              <w:rPr>
                <w:rFonts w:ascii="Times New Roman" w:hAnsi="Times New Roman"/>
                <w:sz w:val="20"/>
              </w:rPr>
              <w:t> </w:t>
            </w:r>
            <w:r>
              <w:rPr>
                <w:rFonts w:ascii="Times New Roman;serif" w:hAnsi="Times New Roman;serif"/>
                <w:b w:val="false"/>
                <w:sz w:val="20"/>
              </w:rPr>
              <w:t>shares at June 30, 2023 and December 31, 2022; Issued and outstanding: 166,204,295</w:t>
            </w:r>
            <w:r>
              <w:rPr>
                <w:rFonts w:ascii="Times New Roman" w:hAnsi="Times New Roman"/>
                <w:sz w:val="20"/>
              </w:rPr>
              <w:t> </w:t>
            </w:r>
            <w:r>
              <w:rPr>
                <w:rFonts w:ascii="Times New Roman;serif" w:hAnsi="Times New Roman;serif"/>
                <w:b w:val="false"/>
                <w:sz w:val="20"/>
              </w:rPr>
              <w:t>and 161,155,030</w:t>
            </w:r>
            <w:r>
              <w:rPr>
                <w:rFonts w:ascii="Times New Roman" w:hAnsi="Times New Roman"/>
                <w:sz w:val="20"/>
              </w:rPr>
              <w:t> </w:t>
            </w:r>
            <w:r>
              <w:rPr>
                <w:rFonts w:ascii="Times New Roman;serif" w:hAnsi="Times New Roman;serif"/>
                <w:b w:val="false"/>
                <w:sz w:val="20"/>
              </w:rPr>
              <w:t>shares at June 30, 2023 and December 31, 2022, respectively</w:t>
            </w:r>
          </w:p>
        </w:tc>
        <w:tc>
          <w:tcPr>
            <w:tcW w:w="146" w:type="dxa"/>
            <w:tcBorders/>
            <w:vAlign w:val="center"/>
          </w:tcPr>
          <w:p>
            <w:pPr>
              <w:pStyle w:val="TableContents"/>
              <w:bidi w:val="0"/>
              <w:spacing w:before="0" w:after="0"/>
              <w:ind w:left="0" w:right="0" w:hanging="0"/>
              <w:jc w:val="right"/>
              <w:rPr/>
            </w:pPr>
            <w:r>
              <w:rPr/>
              <w:t> </w:t>
            </w:r>
          </w:p>
        </w:tc>
        <w:tc>
          <w:tcPr>
            <w:tcW w:w="215" w:type="dxa"/>
            <w:tcBorders/>
            <w:vAlign w:val="center"/>
          </w:tcPr>
          <w:p>
            <w:pPr>
              <w:pStyle w:val="TableContents"/>
              <w:bidi w:val="0"/>
              <w:spacing w:before="0" w:after="0"/>
              <w:ind w:left="0" w:right="0" w:hanging="0"/>
              <w:jc w:val="lef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213" w:type="dxa"/>
            <w:tcBorders/>
            <w:vAlign w:val="center"/>
          </w:tcPr>
          <w:p>
            <w:pPr>
              <w:pStyle w:val="TableContents"/>
              <w:bidi w:val="0"/>
              <w:spacing w:before="0" w:after="0"/>
              <w:ind w:left="0" w:right="0" w:hanging="0"/>
              <w:jc w:val="left"/>
              <w:rPr/>
            </w:pPr>
            <w:r>
              <w:rPr/>
              <w:t> </w:t>
            </w:r>
          </w:p>
        </w:tc>
      </w:tr>
      <w:tr>
        <w:trPr/>
        <w:tc>
          <w:tcPr>
            <w:tcW w:w="726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right"/>
              <w:rPr/>
            </w:pPr>
            <w:r>
              <w:rPr/>
              <w:t> </w:t>
            </w:r>
          </w:p>
        </w:tc>
        <w:tc>
          <w:tcPr>
            <w:tcW w:w="215" w:type="dxa"/>
            <w:tcBorders/>
            <w:vAlign w:val="center"/>
          </w:tcPr>
          <w:p>
            <w:pPr>
              <w:pStyle w:val="TableContents"/>
              <w:bidi w:val="0"/>
              <w:spacing w:before="0" w:after="0"/>
              <w:ind w:left="0" w:right="0" w:hanging="0"/>
              <w:jc w:val="left"/>
              <w:rPr/>
            </w:pPr>
            <w:r>
              <w:rPr/>
              <w:t> </w:t>
            </w:r>
          </w:p>
        </w:tc>
        <w:tc>
          <w:tcPr>
            <w:tcW w:w="8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384,443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378,722</w:t>
            </w:r>
          </w:p>
        </w:tc>
        <w:tc>
          <w:tcPr>
            <w:tcW w:w="213" w:type="dxa"/>
            <w:tcBorders/>
            <w:vAlign w:val="center"/>
          </w:tcPr>
          <w:p>
            <w:pPr>
              <w:pStyle w:val="TableContents"/>
              <w:bidi w:val="0"/>
              <w:spacing w:before="0" w:after="0"/>
              <w:ind w:left="0" w:right="0" w:hanging="0"/>
              <w:jc w:val="left"/>
              <w:rPr/>
            </w:pPr>
            <w:r>
              <w:rPr/>
              <w:t> </w:t>
            </w:r>
          </w:p>
        </w:tc>
      </w:tr>
      <w:tr>
        <w:trPr/>
        <w:tc>
          <w:tcPr>
            <w:tcW w:w="726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vAlign w:val="center"/>
          </w:tcPr>
          <w:p>
            <w:pPr>
              <w:pStyle w:val="TableContents"/>
              <w:bidi w:val="0"/>
              <w:spacing w:before="0" w:after="0"/>
              <w:ind w:left="0" w:right="0" w:hanging="0"/>
              <w:jc w:val="righ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(264,664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(251,202</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263" w:type="dxa"/>
            <w:tcBorders/>
            <w:vAlign w:val="center"/>
          </w:tcPr>
          <w:p>
            <w:pPr>
              <w:pStyle w:val="TableContents"/>
              <w:bidi w:val="0"/>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Total stockholders’ equity</w:t>
            </w:r>
          </w:p>
        </w:tc>
        <w:tc>
          <w:tcPr>
            <w:tcW w:w="146" w:type="dxa"/>
            <w:tcBorders/>
            <w:vAlign w:val="center"/>
          </w:tcPr>
          <w:p>
            <w:pPr>
              <w:pStyle w:val="TableContents"/>
              <w:bidi w:val="0"/>
              <w:spacing w:before="0" w:after="0"/>
              <w:ind w:left="0" w:right="0" w:hanging="0"/>
              <w:jc w:val="righ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119,795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127,536</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263" w:type="dxa"/>
            <w:tcBorders/>
            <w:vAlign w:val="center"/>
          </w:tcPr>
          <w:p>
            <w:pPr>
              <w:pStyle w:val="TableContents"/>
              <w:bidi w:val="0"/>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Total liabilities and stockholders’ equity</w:t>
            </w:r>
          </w:p>
        </w:tc>
        <w:tc>
          <w:tcPr>
            <w:tcW w:w="146" w:type="dxa"/>
            <w:tcBorders/>
            <w:vAlign w:val="center"/>
          </w:tcPr>
          <w:p>
            <w:pPr>
              <w:pStyle w:val="TableContents"/>
              <w:bidi w:val="0"/>
              <w:spacing w:before="0" w:after="0"/>
              <w:ind w:left="0" w:right="0" w:hanging="0"/>
              <w:jc w:val="right"/>
              <w:rPr/>
            </w:pPr>
            <w:r>
              <w:rPr/>
              <w:t> </w:t>
            </w:r>
          </w:p>
        </w:tc>
        <w:tc>
          <w:tcPr>
            <w:tcW w:w="2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140,521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156,254</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6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The accompanying notes are an integral part of the condensed consolidated financial statements.</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_page">
        <w:r>
          <w:rPr>
            <w:rStyle w:val="InternetLink"/>
            <w:rFonts w:ascii="Times New Roman;serif" w:hAnsi="Times New Roman;serif"/>
            <w:b w:val="false"/>
            <w:sz w:val="18"/>
            <w:u w:val="single"/>
          </w:rPr>
          <w:t>Table of Contents</w:t>
        </w:r>
      </w:hyperlink>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TALKSPACE, INC.</w:t>
      </w:r>
    </w:p>
    <w:p>
      <w:pPr>
        <w:pStyle w:val="TextBody"/>
        <w:bidi w:val="0"/>
        <w:spacing w:before="0" w:after="0"/>
        <w:jc w:val="center"/>
        <w:rPr>
          <w:rFonts w:ascii="Times New Roman" w:hAnsi="Times New Roman"/>
          <w:sz w:val="20"/>
        </w:rPr>
      </w:pPr>
      <w:bookmarkStart w:id="5" w:name="statements_operations"/>
      <w:bookmarkEnd w:id="5"/>
      <w:r>
        <w:rPr>
          <w:rFonts w:ascii="Times New Roman;serif" w:hAnsi="Times New Roman;serif"/>
          <w:b/>
          <w:sz w:val="20"/>
        </w:rPr>
        <w:t>CONDENSED CONSOLIDATED STATEMENTS OF</w:t>
      </w:r>
      <w:r>
        <w:rPr>
          <w:rFonts w:ascii="Times New Roman" w:hAnsi="Times New Roman"/>
          <w:sz w:val="20"/>
        </w:rPr>
        <w:t xml:space="preserve"> </w:t>
      </w:r>
      <w:r>
        <w:rPr>
          <w:rFonts w:ascii="Times New Roman;serif" w:hAnsi="Times New Roman;serif"/>
          <w:b/>
          <w:sz w:val="20"/>
        </w:rPr>
        <w:t>OPERATIONS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tbl>
      <w:tblPr>
        <w:tblW w:w="10205" w:type="dxa"/>
        <w:jc w:val="left"/>
        <w:tblInd w:w="0" w:type="dxa"/>
        <w:tblLayout w:type="fixed"/>
        <w:tblCellMar>
          <w:top w:w="28" w:type="dxa"/>
          <w:left w:w="28" w:type="dxa"/>
          <w:bottom w:w="28" w:type="dxa"/>
          <w:right w:w="28" w:type="dxa"/>
        </w:tblCellMar>
      </w:tblPr>
      <w:tblGrid>
        <w:gridCol w:w="3504"/>
        <w:gridCol w:w="146"/>
        <w:gridCol w:w="211"/>
        <w:gridCol w:w="1141"/>
        <w:gridCol w:w="166"/>
        <w:gridCol w:w="146"/>
        <w:gridCol w:w="211"/>
        <w:gridCol w:w="1141"/>
        <w:gridCol w:w="166"/>
        <w:gridCol w:w="146"/>
        <w:gridCol w:w="211"/>
        <w:gridCol w:w="1141"/>
        <w:gridCol w:w="166"/>
        <w:gridCol w:w="146"/>
        <w:gridCol w:w="211"/>
        <w:gridCol w:w="1141"/>
        <w:gridCol w:w="211"/>
      </w:tblGrid>
      <w:tr>
        <w:trPr/>
        <w:tc>
          <w:tcPr>
            <w:tcW w:w="3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0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01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211" w:type="dxa"/>
            <w:tcBorders/>
            <w:vAlign w:val="center"/>
          </w:tcPr>
          <w:p>
            <w:pPr>
              <w:pStyle w:val="TableContents"/>
              <w:bidi w:val="0"/>
              <w:spacing w:before="0" w:after="0"/>
              <w:ind w:left="0" w:right="0" w:hanging="0"/>
              <w:jc w:val="center"/>
              <w:rPr/>
            </w:pPr>
            <w:r>
              <w:rPr/>
              <w:t> </w:t>
            </w:r>
          </w:p>
        </w:tc>
      </w:tr>
      <w:tr>
        <w:trPr/>
        <w:tc>
          <w:tcPr>
            <w:tcW w:w="350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0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04" w:type="dxa"/>
            <w:tcBorders/>
            <w:vAlign w:val="center"/>
          </w:tcPr>
          <w:p>
            <w:pPr>
              <w:pStyle w:val="TableContents"/>
              <w:bidi w:val="0"/>
              <w:spacing w:before="0" w:after="0"/>
              <w:ind w:left="0" w:right="0" w:hanging="0"/>
              <w:jc w:val="left"/>
              <w:rPr>
                <w:rFonts w:ascii="Times New Roman;serif" w:hAnsi="Times New Roman;serif"/>
                <w:b w:val="false"/>
                <w:i/>
                <w:sz w:val="18"/>
              </w:rPr>
            </w:pPr>
            <w:r>
              <w:rPr>
                <w:rFonts w:ascii="Times New Roman;serif" w:hAnsi="Times New Roman;serif"/>
                <w:b w:val="false"/>
                <w:i/>
                <w:sz w:val="18"/>
              </w:rPr>
              <w:t>(U.S. dollars in thousands, except share and per share data)</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35,645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29,844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68,981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59,994</w:t>
            </w:r>
          </w:p>
        </w:tc>
        <w:tc>
          <w:tcPr>
            <w:tcW w:w="211" w:type="dxa"/>
            <w:tcBorders/>
            <w:vAlign w:val="center"/>
          </w:tcPr>
          <w:p>
            <w:pPr>
              <w:pStyle w:val="TableContents"/>
              <w:bidi w:val="0"/>
              <w:spacing w:before="0" w:after="0"/>
              <w:ind w:left="0" w:right="0" w:hanging="0"/>
              <w:jc w:val="left"/>
              <w:rPr/>
            </w:pPr>
            <w:r>
              <w:rPr/>
              <w:t> </w:t>
            </w:r>
          </w:p>
        </w:tc>
      </w:tr>
      <w:tr>
        <w:trPr/>
        <w:tc>
          <w:tcPr>
            <w:tcW w:w="35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15,297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34,421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30,426</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34,560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29,568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r>
        <w:trPr/>
        <w:tc>
          <w:tcPr>
            <w:tcW w:w="35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5,576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10,611</w:t>
            </w:r>
          </w:p>
        </w:tc>
        <w:tc>
          <w:tcPr>
            <w:tcW w:w="211" w:type="dxa"/>
            <w:tcBorders/>
            <w:vAlign w:val="center"/>
          </w:tcPr>
          <w:p>
            <w:pPr>
              <w:pStyle w:val="TableContents"/>
              <w:bidi w:val="0"/>
              <w:spacing w:before="0" w:after="0"/>
              <w:ind w:left="0" w:right="0" w:hanging="0"/>
              <w:jc w:val="left"/>
              <w:rPr/>
            </w:pPr>
            <w:r>
              <w:rPr/>
              <w:t> </w:t>
            </w:r>
          </w:p>
        </w:tc>
      </w:tr>
      <w:tr>
        <w:trPr/>
        <w:tc>
          <w:tcPr>
            <w:tcW w:w="35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Clinical operations,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3,276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4,092</w:t>
            </w:r>
          </w:p>
        </w:tc>
        <w:tc>
          <w:tcPr>
            <w:tcW w:w="211" w:type="dxa"/>
            <w:tcBorders/>
            <w:vAlign w:val="center"/>
          </w:tcPr>
          <w:p>
            <w:pPr>
              <w:pStyle w:val="TableContents"/>
              <w:bidi w:val="0"/>
              <w:spacing w:before="0" w:after="0"/>
              <w:ind w:left="0" w:right="0" w:hanging="0"/>
              <w:jc w:val="left"/>
              <w:rPr/>
            </w:pPr>
            <w:r>
              <w:rPr/>
              <w:t> </w:t>
            </w:r>
          </w:p>
        </w:tc>
      </w:tr>
      <w:tr>
        <w:trPr/>
        <w:tc>
          <w:tcPr>
            <w:tcW w:w="35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40,339</w:t>
            </w:r>
          </w:p>
        </w:tc>
        <w:tc>
          <w:tcPr>
            <w:tcW w:w="211" w:type="dxa"/>
            <w:tcBorders/>
            <w:vAlign w:val="center"/>
          </w:tcPr>
          <w:p>
            <w:pPr>
              <w:pStyle w:val="TableContents"/>
              <w:bidi w:val="0"/>
              <w:spacing w:before="0" w:after="0"/>
              <w:ind w:left="0" w:right="0" w:hanging="0"/>
              <w:jc w:val="left"/>
              <w:rPr/>
            </w:pPr>
            <w:r>
              <w:rPr/>
              <w:t> </w:t>
            </w:r>
          </w:p>
        </w:tc>
      </w:tr>
      <w:tr>
        <w:trPr/>
        <w:tc>
          <w:tcPr>
            <w:tcW w:w="35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10,693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16,802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35,615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71,844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(6,408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(21,068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(15,447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(42,276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Financial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996</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taxes on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(4,696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(22,933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(13,311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(43,272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Taxes on income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(4,704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(23,022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(13,462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(43,382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r>
        <w:trPr/>
        <w:tc>
          <w:tcPr>
            <w:tcW w:w="3504"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number of common shares used in computing basic and diluted net loss per share:</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3504"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164,195,697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155,709,901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163,003,363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154,901,165</w:t>
            </w:r>
          </w:p>
        </w:tc>
        <w:tc>
          <w:tcPr>
            <w:tcW w:w="21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The accompanying notes are an integral part of the condensed consolidated financial statements.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_page">
        <w:r>
          <w:rPr>
            <w:rStyle w:val="InternetLink"/>
            <w:rFonts w:ascii="Times New Roman;serif" w:hAnsi="Times New Roman;serif"/>
            <w:b w:val="false"/>
            <w:sz w:val="18"/>
            <w:u w:val="single"/>
          </w:rPr>
          <w:t>Table of Contents</w:t>
        </w:r>
      </w:hyperlink>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TALKSPACE, INC.</w:t>
      </w:r>
    </w:p>
    <w:p>
      <w:pPr>
        <w:pStyle w:val="TextBody"/>
        <w:bidi w:val="0"/>
        <w:spacing w:before="0" w:after="0"/>
        <w:jc w:val="center"/>
        <w:rPr>
          <w:rFonts w:ascii="Times New Roman" w:hAnsi="Times New Roman"/>
          <w:sz w:val="20"/>
        </w:rPr>
      </w:pPr>
      <w:bookmarkStart w:id="6" w:name="statements_equity"/>
      <w:bookmarkEnd w:id="6"/>
      <w:r>
        <w:rPr>
          <w:rFonts w:ascii="Times New Roman;serif" w:hAnsi="Times New Roman;serif"/>
          <w:b/>
          <w:sz w:val="20"/>
        </w:rPr>
        <w:t>CONDENSED CONSOLIDATED STATEMENTS OF CHANGES IN STOCKHOLDERS’ EQUITY</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pPr>
      <w:r>
        <w:rPr/>
        <w:t> </w:t>
      </w:r>
    </w:p>
    <w:tbl>
      <w:tblPr>
        <w:tblW w:w="9399" w:type="dxa"/>
        <w:jc w:val="left"/>
        <w:tblInd w:w="0" w:type="dxa"/>
        <w:tblLayout w:type="fixed"/>
        <w:tblCellMar>
          <w:top w:w="28" w:type="dxa"/>
          <w:left w:w="28" w:type="dxa"/>
          <w:bottom w:w="28" w:type="dxa"/>
          <w:right w:w="28" w:type="dxa"/>
        </w:tblCellMar>
      </w:tblPr>
      <w:tblGrid>
        <w:gridCol w:w="3301"/>
        <w:gridCol w:w="146"/>
        <w:gridCol w:w="146"/>
        <w:gridCol w:w="1006"/>
        <w:gridCol w:w="146"/>
        <w:gridCol w:w="146"/>
        <w:gridCol w:w="196"/>
        <w:gridCol w:w="346"/>
        <w:gridCol w:w="146"/>
        <w:gridCol w:w="146"/>
        <w:gridCol w:w="222"/>
        <w:gridCol w:w="783"/>
        <w:gridCol w:w="166"/>
        <w:gridCol w:w="146"/>
        <w:gridCol w:w="196"/>
        <w:gridCol w:w="751"/>
        <w:gridCol w:w="166"/>
        <w:gridCol w:w="146"/>
        <w:gridCol w:w="196"/>
        <w:gridCol w:w="691"/>
        <w:gridCol w:w="21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(U.S. dollars in thousands, except share data)</w:t>
            </w:r>
          </w:p>
        </w:tc>
        <w:tc>
          <w:tcPr>
            <w:tcW w:w="146" w:type="dxa"/>
            <w:tcBorders/>
            <w:vAlign w:val="center"/>
          </w:tcPr>
          <w:p>
            <w:pPr>
              <w:pStyle w:val="TableContents"/>
              <w:bidi w:val="0"/>
              <w:spacing w:before="0" w:after="0"/>
              <w:ind w:left="0" w:right="0" w:hanging="0"/>
              <w:jc w:val="left"/>
              <w:rPr/>
            </w:pPr>
            <w:r>
              <w:rPr/>
              <w:t> </w:t>
            </w:r>
          </w:p>
        </w:tc>
        <w:tc>
          <w:tcPr>
            <w:tcW w:w="19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sz w:val="14"/>
                <w:u w:val="single"/>
              </w:rPr>
            </w:pPr>
            <w:r>
              <w:rPr>
                <w:rFonts w:ascii="Times New Roman;serif" w:hAnsi="Times New Roman;serif"/>
                <w:b/>
                <w:sz w:val="14"/>
                <w:u w:val="single"/>
              </w:rPr>
              <w:t>Three and Six Months Ended June 30, 2023</w:t>
            </w:r>
          </w:p>
        </w:tc>
        <w:tc>
          <w:tcPr>
            <w:tcW w:w="146" w:type="dxa"/>
            <w:tcBorders/>
            <w:vAlign w:val="center"/>
          </w:tcPr>
          <w:p>
            <w:pPr>
              <w:pStyle w:val="TableContents"/>
              <w:bidi w:val="0"/>
              <w:spacing w:before="0" w:after="0"/>
              <w:ind w:left="0" w:right="0" w:hanging="0"/>
              <w:jc w:val="left"/>
              <w:rPr/>
            </w:pPr>
            <w:r>
              <w:rPr/>
              <w:t> </w:t>
            </w:r>
          </w:p>
        </w:tc>
        <w:tc>
          <w:tcPr>
            <w:tcW w:w="11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Number of Shares</w:t>
              <w:br/>
              <w:t>Outstanding</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Additional paid-in</w:t>
              <w:br/>
              <w:t>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Accumulated</w:t>
              <w:b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Total</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161,155,030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8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378,722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(251,202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127,536</w:t>
            </w:r>
          </w:p>
        </w:tc>
        <w:tc>
          <w:tcPr>
            <w:tcW w:w="211" w:type="dxa"/>
            <w:tcBorders/>
            <w:vAlign w:val="center"/>
          </w:tcPr>
          <w:p>
            <w:pPr>
              <w:pStyle w:val="TableContents"/>
              <w:bidi w:val="0"/>
              <w:spacing w:before="0" w:after="0"/>
              <w:ind w:left="0" w:right="0" w:hanging="0"/>
              <w:jc w:val="left"/>
              <w:rPr/>
            </w:pPr>
            <w:r>
              <w:rPr/>
              <w:t> </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1,739,265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2" w:type="dxa"/>
            <w:gridSpan w:val="2"/>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621</w:t>
            </w:r>
          </w:p>
        </w:tc>
        <w:tc>
          <w:tcPr>
            <w:tcW w:w="211" w:type="dxa"/>
            <w:tcBorders/>
            <w:vAlign w:val="center"/>
          </w:tcPr>
          <w:p>
            <w:pPr>
              <w:pStyle w:val="TableContents"/>
              <w:bidi w:val="0"/>
              <w:spacing w:before="0" w:after="0"/>
              <w:ind w:left="0" w:right="0" w:hanging="0"/>
              <w:jc w:val="left"/>
              <w:rPr/>
            </w:pPr>
            <w:r>
              <w:rPr/>
              <w:t> </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Restricted stock units vested, net of tax</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225,050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2" w:type="dxa"/>
            <w:gridSpan w:val="2"/>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2,303</w:t>
            </w:r>
          </w:p>
        </w:tc>
        <w:tc>
          <w:tcPr>
            <w:tcW w:w="211" w:type="dxa"/>
            <w:tcBorders/>
            <w:vAlign w:val="center"/>
          </w:tcPr>
          <w:p>
            <w:pPr>
              <w:pStyle w:val="TableContents"/>
              <w:bidi w:val="0"/>
              <w:spacing w:before="0" w:after="0"/>
              <w:ind w:left="0" w:right="0" w:hanging="0"/>
              <w:jc w:val="left"/>
              <w:rPr/>
            </w:pPr>
            <w:r>
              <w:rPr/>
              <w:t> </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(8,758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(8,758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March 31, 2023 (unaudited)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163,119,345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381,581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(259,960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121,637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1,837,734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2" w:type="dxa"/>
            <w:gridSpan w:val="2"/>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869</w:t>
            </w:r>
          </w:p>
        </w:tc>
        <w:tc>
          <w:tcPr>
            <w:tcW w:w="211" w:type="dxa"/>
            <w:tcBorders/>
            <w:vAlign w:val="center"/>
          </w:tcPr>
          <w:p>
            <w:pPr>
              <w:pStyle w:val="TableContents"/>
              <w:bidi w:val="0"/>
              <w:spacing w:before="0" w:after="0"/>
              <w:ind w:left="0" w:right="0" w:hanging="0"/>
              <w:jc w:val="left"/>
              <w:rPr/>
            </w:pPr>
            <w:r>
              <w:rPr/>
              <w:t> </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Restricted stock units vested, net of tax</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1,247,216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2" w:type="dxa"/>
            <w:gridSpan w:val="2"/>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2,129</w:t>
            </w:r>
          </w:p>
        </w:tc>
        <w:tc>
          <w:tcPr>
            <w:tcW w:w="211" w:type="dxa"/>
            <w:tcBorders/>
            <w:vAlign w:val="center"/>
          </w:tcPr>
          <w:p>
            <w:pPr>
              <w:pStyle w:val="TableContents"/>
              <w:bidi w:val="0"/>
              <w:spacing w:before="0" w:after="0"/>
              <w:ind w:left="0" w:right="0" w:hanging="0"/>
              <w:jc w:val="left"/>
              <w:rPr/>
            </w:pPr>
            <w:r>
              <w:rPr/>
              <w:t> </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(4,704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(4,704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June 30, 2023 (unaudited)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166,204,295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384,443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(264,664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119,795</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33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sz w:val="14"/>
                <w:u w:val="single"/>
              </w:rPr>
            </w:pPr>
            <w:r>
              <w:rPr>
                <w:rFonts w:ascii="Times New Roman;serif" w:hAnsi="Times New Roman;serif"/>
                <w:b/>
                <w:sz w:val="14"/>
                <w:u w:val="single"/>
              </w:rPr>
              <w:t>Three and Six Months Ended June 30, 2022</w:t>
            </w:r>
          </w:p>
        </w:tc>
        <w:tc>
          <w:tcPr>
            <w:tcW w:w="146" w:type="dxa"/>
            <w:tcBorders/>
            <w:vAlign w:val="center"/>
          </w:tcPr>
          <w:p>
            <w:pPr>
              <w:pStyle w:val="TableContents"/>
              <w:bidi w:val="0"/>
              <w:spacing w:before="0" w:after="0"/>
              <w:ind w:left="0" w:right="0" w:hanging="0"/>
              <w:jc w:val="left"/>
              <w:rPr/>
            </w:pPr>
            <w:r>
              <w:rPr/>
              <w:t> </w:t>
            </w:r>
          </w:p>
        </w:tc>
        <w:tc>
          <w:tcPr>
            <w:tcW w:w="11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Number of Shares</w:t>
              <w:br/>
              <w:t>Outstanding</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Additional paid-in</w:t>
              <w:br/>
              <w:t>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Accumulated</w:t>
              <w:b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Total</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152,862,447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8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363,788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(171,530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192,273</w:t>
            </w:r>
          </w:p>
        </w:tc>
        <w:tc>
          <w:tcPr>
            <w:tcW w:w="211" w:type="dxa"/>
            <w:tcBorders/>
            <w:vAlign w:val="center"/>
          </w:tcPr>
          <w:p>
            <w:pPr>
              <w:pStyle w:val="TableContents"/>
              <w:bidi w:val="0"/>
              <w:spacing w:before="0" w:after="0"/>
              <w:ind w:left="0" w:right="0" w:hanging="0"/>
              <w:jc w:val="left"/>
              <w:rPr/>
            </w:pPr>
            <w:r>
              <w:rPr/>
              <w:t> </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2,164,870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2" w:type="dxa"/>
            <w:gridSpan w:val="2"/>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2,063</w:t>
            </w:r>
          </w:p>
        </w:tc>
        <w:tc>
          <w:tcPr>
            <w:tcW w:w="211" w:type="dxa"/>
            <w:tcBorders/>
            <w:vAlign w:val="center"/>
          </w:tcPr>
          <w:p>
            <w:pPr>
              <w:pStyle w:val="TableContents"/>
              <w:bidi w:val="0"/>
              <w:spacing w:before="0" w:after="0"/>
              <w:ind w:left="0" w:right="0" w:hanging="0"/>
              <w:jc w:val="left"/>
              <w:rPr/>
            </w:pPr>
            <w:r>
              <w:rPr/>
              <w:t> </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Restricted stock units vested, net of tax</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77,338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2" w:type="dxa"/>
            <w:gridSpan w:val="2"/>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2,368</w:t>
            </w:r>
          </w:p>
        </w:tc>
        <w:tc>
          <w:tcPr>
            <w:tcW w:w="211" w:type="dxa"/>
            <w:tcBorders/>
            <w:vAlign w:val="center"/>
          </w:tcPr>
          <w:p>
            <w:pPr>
              <w:pStyle w:val="TableContents"/>
              <w:bidi w:val="0"/>
              <w:spacing w:before="0" w:after="0"/>
              <w:ind w:left="0" w:right="0" w:hanging="0"/>
              <w:jc w:val="left"/>
              <w:rPr/>
            </w:pPr>
            <w:r>
              <w:rPr/>
              <w:t> </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(20,360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(20,360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March 31, 2022 (unaudited)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155,104,655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368,152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(191,890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176,277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1,092,515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2" w:type="dxa"/>
            <w:gridSpan w:val="2"/>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286</w:t>
            </w:r>
          </w:p>
        </w:tc>
        <w:tc>
          <w:tcPr>
            <w:tcW w:w="211" w:type="dxa"/>
            <w:tcBorders/>
            <w:vAlign w:val="center"/>
          </w:tcPr>
          <w:p>
            <w:pPr>
              <w:pStyle w:val="TableContents"/>
              <w:bidi w:val="0"/>
              <w:spacing w:before="0" w:after="0"/>
              <w:ind w:left="0" w:right="0" w:hanging="0"/>
              <w:jc w:val="left"/>
              <w:rPr/>
            </w:pPr>
            <w:r>
              <w:rPr/>
              <w:t> </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Restricted stock units vested, net of tax</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1,175,446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2" w:type="dxa"/>
            <w:gridSpan w:val="2"/>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3,839</w:t>
            </w:r>
          </w:p>
        </w:tc>
        <w:tc>
          <w:tcPr>
            <w:tcW w:w="211" w:type="dxa"/>
            <w:tcBorders/>
            <w:vAlign w:val="center"/>
          </w:tcPr>
          <w:p>
            <w:pPr>
              <w:pStyle w:val="TableContents"/>
              <w:bidi w:val="0"/>
              <w:spacing w:before="0" w:after="0"/>
              <w:ind w:left="0" w:right="0" w:hanging="0"/>
              <w:jc w:val="left"/>
              <w:rPr/>
            </w:pPr>
            <w:r>
              <w:rPr/>
              <w:t> </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33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June 30, 2022 (unaudited)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157,372,616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372,151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(214,912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157,254</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serif" w:hAnsi="Times New Roman;serif"/>
          <w:b w:val="false"/>
          <w:sz w:val="15"/>
        </w:rPr>
      </w:pPr>
      <w:r>
        <w:rPr>
          <w:rFonts w:ascii="Times New Roman;serif" w:hAnsi="Times New Roman;serif"/>
          <w:b w:val="false"/>
          <w:sz w:val="15"/>
        </w:rPr>
        <w:t>*) Represents an amount lower than $1</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18"/>
        </w:rPr>
      </w:pPr>
      <w:r>
        <w:rPr>
          <w:rFonts w:ascii="Times New Roman;serif" w:hAnsi="Times New Roman;serif"/>
          <w:b w:val="false"/>
          <w:sz w:val="18"/>
        </w:rPr>
        <w:t>The accompanying notes are an integral part of the condensed consolidated financial statements.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_page">
        <w:r>
          <w:rPr>
            <w:rStyle w:val="InternetLink"/>
            <w:rFonts w:ascii="Times New Roman;serif" w:hAnsi="Times New Roman;serif"/>
            <w:b w:val="false"/>
            <w:sz w:val="18"/>
            <w:u w:val="single"/>
          </w:rPr>
          <w:t>Table of Contents</w:t>
        </w:r>
      </w:hyperlink>
    </w:p>
    <w:p>
      <w:pPr>
        <w:pStyle w:val="TextBody"/>
        <w:bidi w:val="0"/>
        <w:spacing w:before="0" w:after="0"/>
        <w:jc w:val="center"/>
        <w:rPr>
          <w:rFonts w:ascii="Times New Roman;serif" w:hAnsi="Times New Roman;serif"/>
          <w:b/>
          <w:sz w:val="20"/>
        </w:rPr>
      </w:pPr>
      <w:r>
        <w:rPr>
          <w:rFonts w:ascii="Times New Roman;serif" w:hAnsi="Times New Roman;serif"/>
          <w:b/>
          <w:sz w:val="20"/>
        </w:rPr>
        <w:t>TALKSPACE, INC.</w:t>
      </w:r>
    </w:p>
    <w:p>
      <w:pPr>
        <w:pStyle w:val="TextBody"/>
        <w:bidi w:val="0"/>
        <w:spacing w:before="0" w:after="0"/>
        <w:jc w:val="center"/>
        <w:rPr>
          <w:rFonts w:ascii="Times New Roman;serif" w:hAnsi="Times New Roman;serif"/>
          <w:b/>
          <w:sz w:val="20"/>
        </w:rPr>
      </w:pPr>
      <w:bookmarkStart w:id="7" w:name="statements_cash_flows"/>
      <w:bookmarkEnd w:id="7"/>
      <w:r>
        <w:rPr>
          <w:rFonts w:ascii="Times New Roman;serif" w:hAnsi="Times New Roman;serif"/>
          <w:b/>
          <w:sz w:val="20"/>
        </w:rPr>
        <w:t>CONDENSED CONSOLIDATED STATEMENTS OF CASH FLOWS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left"/>
        <w:rPr/>
      </w:pPr>
      <w:r>
        <w:rPr/>
        <w:t> </w:t>
      </w:r>
    </w:p>
    <w:tbl>
      <w:tblPr>
        <w:tblW w:w="8879" w:type="dxa"/>
        <w:jc w:val="left"/>
        <w:tblInd w:w="0" w:type="dxa"/>
        <w:tblLayout w:type="fixed"/>
        <w:tblCellMar>
          <w:top w:w="28" w:type="dxa"/>
          <w:left w:w="28" w:type="dxa"/>
          <w:bottom w:w="28" w:type="dxa"/>
          <w:right w:w="28" w:type="dxa"/>
        </w:tblCellMar>
      </w:tblPr>
      <w:tblGrid>
        <w:gridCol w:w="6226"/>
        <w:gridCol w:w="146"/>
        <w:gridCol w:w="211"/>
        <w:gridCol w:w="781"/>
        <w:gridCol w:w="166"/>
        <w:gridCol w:w="146"/>
        <w:gridCol w:w="211"/>
        <w:gridCol w:w="781"/>
        <w:gridCol w:w="211"/>
      </w:tblGrid>
      <w:tr>
        <w:trPr/>
        <w:tc>
          <w:tcPr>
            <w:tcW w:w="6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2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i/>
                <w:sz w:val="18"/>
              </w:rPr>
            </w:pPr>
            <w:r>
              <w:rPr>
                <w:rFonts w:ascii="Times New Roman;serif" w:hAnsi="Times New Roman;serif"/>
                <w:b w:val="false"/>
                <w:i/>
                <w:sz w:val="18"/>
              </w:rPr>
              <w:t>(U.S. dollars in thousands)</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Cash flows from operating activities:</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(13,462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(43,382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to reconcile net loss to net cash used in operating activities:</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697</w:t>
            </w:r>
          </w:p>
        </w:tc>
        <w:tc>
          <w:tcPr>
            <w:tcW w:w="211" w:type="dxa"/>
            <w:tcBorders/>
            <w:vAlign w:val="center"/>
          </w:tcPr>
          <w:p>
            <w:pPr>
              <w:pStyle w:val="TableContents"/>
              <w:bidi w:val="0"/>
              <w:spacing w:before="0" w:after="0"/>
              <w:ind w:left="0" w:right="0" w:hanging="0"/>
              <w:jc w:val="left"/>
              <w:rPr/>
            </w:pPr>
            <w:r>
              <w:rPr/>
              <w:t> </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6,207</w:t>
            </w:r>
          </w:p>
        </w:tc>
        <w:tc>
          <w:tcPr>
            <w:tcW w:w="211" w:type="dxa"/>
            <w:tcBorders/>
            <w:vAlign w:val="center"/>
          </w:tcPr>
          <w:p>
            <w:pPr>
              <w:pStyle w:val="TableContents"/>
              <w:bidi w:val="0"/>
              <w:spacing w:before="0" w:after="0"/>
              <w:ind w:left="0" w:right="0" w:hanging="0"/>
              <w:jc w:val="left"/>
              <w:rPr/>
            </w:pPr>
            <w:r>
              <w:rPr/>
              <w:t> </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Remeasurement of warrant liabilities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1,217</w:t>
            </w:r>
          </w:p>
        </w:tc>
        <w:tc>
          <w:tcPr>
            <w:tcW w:w="211" w:type="dxa"/>
            <w:tcBorders/>
            <w:vAlign w:val="center"/>
          </w:tcPr>
          <w:p>
            <w:pPr>
              <w:pStyle w:val="TableContents"/>
              <w:bidi w:val="0"/>
              <w:spacing w:before="0" w:after="0"/>
              <w:ind w:left="0" w:right="0" w:hanging="0"/>
              <w:jc w:val="left"/>
              <w:rPr/>
            </w:pPr>
            <w:r>
              <w:rPr/>
              <w:t> </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Decrease (increase) in accounts receivable</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Decrease in other current assets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5,622</w:t>
            </w:r>
          </w:p>
        </w:tc>
        <w:tc>
          <w:tcPr>
            <w:tcW w:w="211" w:type="dxa"/>
            <w:tcBorders/>
            <w:vAlign w:val="center"/>
          </w:tcPr>
          <w:p>
            <w:pPr>
              <w:pStyle w:val="TableContents"/>
              <w:bidi w:val="0"/>
              <w:spacing w:before="0" w:after="0"/>
              <w:ind w:left="0" w:right="0" w:hanging="0"/>
              <w:jc w:val="left"/>
              <w:rPr/>
            </w:pPr>
            <w:r>
              <w:rPr/>
              <w:t> </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(Decrease) increase in accounts payable</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381</w:t>
            </w:r>
          </w:p>
        </w:tc>
        <w:tc>
          <w:tcPr>
            <w:tcW w:w="211" w:type="dxa"/>
            <w:tcBorders/>
            <w:vAlign w:val="center"/>
          </w:tcPr>
          <w:p>
            <w:pPr>
              <w:pStyle w:val="TableContents"/>
              <w:bidi w:val="0"/>
              <w:spacing w:before="0" w:after="0"/>
              <w:ind w:left="0" w:right="0" w:hanging="0"/>
              <w:jc w:val="left"/>
              <w:rPr/>
            </w:pPr>
            <w:r>
              <w:rPr/>
              <w:t> </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Decrease in deferred revenues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Decrease in accrued expenses and other current liabilities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(6,058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(13,748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(33,111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Cash flows from investing activities:</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 of property and equipment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sale of property and equipment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(used in) investing activities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Cash flows from financing activities:</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exercise of stock options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2,349</w:t>
            </w:r>
          </w:p>
        </w:tc>
        <w:tc>
          <w:tcPr>
            <w:tcW w:w="211" w:type="dxa"/>
            <w:tcBorders/>
            <w:vAlign w:val="center"/>
          </w:tcPr>
          <w:p>
            <w:pPr>
              <w:pStyle w:val="TableContents"/>
              <w:bidi w:val="0"/>
              <w:spacing w:before="0" w:after="0"/>
              <w:ind w:left="0" w:right="0" w:hanging="0"/>
              <w:jc w:val="left"/>
              <w:rPr/>
            </w:pPr>
            <w:r>
              <w:rPr/>
              <w:t> </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Payments for employee taxes withheld related to vested stock-based awards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(Payments) proceeds from reverse capitalization, net of transaction costs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(645</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decrease in cash and cash equivalents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(12,441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(31,634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at the beginning of the period</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138,545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198,256</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at the end of the period</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126,104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166,622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Supplemental cash flow data:</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6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during the period for income taxes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w:t>
            </w:r>
          </w:p>
        </w:tc>
        <w:tc>
          <w:tcPr>
            <w:tcW w:w="211" w:type="dxa"/>
            <w:tcBorders/>
            <w:vAlign w:val="center"/>
          </w:tcPr>
          <w:p>
            <w:pPr>
              <w:pStyle w:val="TableContents"/>
              <w:bidi w:val="0"/>
              <w:spacing w:before="0" w:after="0"/>
              <w:ind w:left="0" w:right="0" w:hanging="0"/>
              <w:jc w:val="left"/>
              <w:rPr/>
            </w:pPr>
            <w:r>
              <w:rPr/>
              <w:t> </w:t>
            </w:r>
          </w:p>
        </w:tc>
      </w:tr>
      <w:tr>
        <w:trPr/>
        <w:tc>
          <w:tcPr>
            <w:tcW w:w="62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bl>
    <w:p>
      <w:pPr>
        <w:pStyle w:val="TextBody"/>
        <w:bidi w:val="0"/>
        <w:spacing w:before="12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 condensed consolidated financial statements.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_page">
        <w:r>
          <w:rPr>
            <w:rStyle w:val="InternetLink"/>
            <w:rFonts w:ascii="Times New Roman;serif" w:hAnsi="Times New Roman;serif"/>
            <w:b w:val="false"/>
            <w:sz w:val="18"/>
            <w:u w:val="single"/>
          </w:rPr>
          <w:t>Table of Contents</w:t>
        </w:r>
      </w:hyperlink>
    </w:p>
    <w:p>
      <w:pPr>
        <w:pStyle w:val="TextBody"/>
        <w:bidi w:val="0"/>
        <w:spacing w:before="0" w:after="0"/>
        <w:jc w:val="center"/>
        <w:rPr>
          <w:rFonts w:ascii="Times New Roman;serif" w:hAnsi="Times New Roman;serif"/>
          <w:b/>
          <w:sz w:val="20"/>
        </w:rPr>
      </w:pPr>
      <w:r>
        <w:rPr>
          <w:rFonts w:ascii="Times New Roman;serif" w:hAnsi="Times New Roman;serif"/>
          <w:b/>
          <w:sz w:val="20"/>
        </w:rPr>
        <w:t>TALKSPACE, INC.</w:t>
      </w:r>
    </w:p>
    <w:p>
      <w:pPr>
        <w:pStyle w:val="TextBody"/>
        <w:bidi w:val="0"/>
        <w:spacing w:before="0" w:after="0"/>
        <w:jc w:val="center"/>
        <w:rPr>
          <w:rFonts w:ascii="Times New Roman" w:hAnsi="Times New Roman"/>
          <w:sz w:val="20"/>
        </w:rPr>
      </w:pPr>
      <w:bookmarkStart w:id="8" w:name="notes_financial_statements"/>
      <w:bookmarkEnd w:id="8"/>
      <w:r>
        <w:rPr>
          <w:rFonts w:ascii="Times New Roman;serif" w:hAnsi="Times New Roman;serif"/>
          <w:b/>
          <w:sz w:val="20"/>
        </w:rPr>
        <w:t>NOTES TO CONDENSED CONSOLIDATED FINANCIAL STATEMENTS</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both"/>
        <w:rPr>
          <w:rFonts w:ascii="Times New Roman;serif" w:hAnsi="Times New Roman;serif"/>
          <w:b/>
          <w:sz w:val="20"/>
        </w:rPr>
      </w:pPr>
      <w:r>
        <w:rPr>
          <w:rFonts w:ascii="Times New Roman;serif" w:hAnsi="Times New Roman;serif"/>
          <w:b/>
          <w:sz w:val="20"/>
        </w:rPr>
        <w:t>NOTE 1. DESCRIPTION OF ORGANIZATION AND BUSINESS OPERATIONS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Talkspace, Inc. (together with its consolidated subsidiaries, the “Company” or “Talkspace”) is a leading behavioral healthcare company enabled by a purpose-built technology platform. Talkspace provides individuals and licensed therapists, psychologists and psychiatrists with an online platform for one-on-one therapy delivered via messaging, audio and video. The Company offers convenient and affordable access to a fully credentialed network of highly qualified providers. Since its inception, the Company has connected millions of patients with licensed behavioral health providers across a wide and growing spectrum of care through virtual counseling, psychotherapy, and psychiatry.</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Company's principal executive office is located in New York, NY. The Company has three wholly owned subsidiaries, Talkspace LLC, Talkspace Network LLC and Groop Internet Platform LTD. In addition, the Company holds a variable interest in one professional association and six professional corporations, which have been established pursuant to the requirements of their respective domestic jurisdiction governing the corporate practice of medicine. See Note 10, “Variable Interest Entities,” in these notes to the condensed consolidated financial statements for further details.</w:t>
      </w:r>
    </w:p>
    <w:p>
      <w:pPr>
        <w:pStyle w:val="TextBody"/>
        <w:bidi w:val="0"/>
        <w:spacing w:before="360" w:after="0"/>
        <w:jc w:val="left"/>
        <w:rPr>
          <w:rFonts w:ascii="Times New Roman;serif" w:hAnsi="Times New Roman;serif"/>
          <w:b/>
          <w:sz w:val="20"/>
        </w:rPr>
      </w:pPr>
      <w:r>
        <w:rPr>
          <w:rFonts w:ascii="Times New Roman;serif" w:hAnsi="Times New Roman;serif"/>
          <w:b/>
          <w:sz w:val="20"/>
        </w:rPr>
        <w:t>NOTE 2. SIGNIFICANT ACCOUNTING POLICIES</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Basis of presentation</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unaudited condensed consolidated financial statements and accompanying notes have been prepared in accordance with U.S. generally accepted accounting principles (“U.S. GAAP”). In management’s opinion, the unaudited condensed consolidated financial statements reflect all adjustments of a normal recurring nature that are necessary for a fair presentation of the results for the interim periods presented. The Company’s interim period results do not necessarily indicate the results that may be expected for any other interim period or for the full fiscal year. These condensed consolidated financial statements should be read in conjuction with the consolidated financial statements as of and for the year ended December 31, 2022 included in the Company's Annual Report on Form 10-K for the year ended December 31, 2022. The significant accounting policies applied in the annual consolidated financial statements of the Company as of December 31, 2022, have been applied consistently in these unaudited condensed consolidated financial statements, unless otherwise stated.</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Intercompany transactions and balances have been eliminated in the preparation of the condensed consolidated financial statements.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i/>
          <w:sz w:val="20"/>
        </w:rPr>
      </w:pPr>
      <w:r>
        <w:rPr>
          <w:rFonts w:ascii="Times New Roman;serif" w:hAnsi="Times New Roman;serif"/>
          <w:b w:val="false"/>
          <w:i/>
          <w:sz w:val="20"/>
        </w:rPr>
        <w:t>Use of estimates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preparation of financial statements in conformity with U.S. GAAP requires management to make estimates, judgments, and assumptions that affect the reported amounts of assets, liabilities, revenues and expenses, together with amounts disclosed in the related notes to the condensed consolidated financial statements. The Company’s significant estimates and assumptions used in these condensed consolidated financial statements include, but are not limited to, the recognition and disclosure of contingent liabilities, revenue recognition, stock-based compensation awards and the fair value of warrant liabilities. The Company bases its estimates on historical factors, current circumstances and the experience and judgment of management. The Company evaluates its assumptions on an ongoing basis. The Company’s management believes that the estimates, judgments, and assumptions used are reasonable based on information available at the time they are made. Estimates, by their nature, are based on judgment and available information, therefore, actual results could be materially different from these estimates.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i/>
          <w:sz w:val="20"/>
        </w:rPr>
      </w:pPr>
      <w:r>
        <w:rPr>
          <w:rFonts w:ascii="Times New Roman;serif" w:hAnsi="Times New Roman;serif"/>
          <w:b w:val="false"/>
          <w:i/>
          <w:sz w:val="20"/>
        </w:rPr>
        <w:t>Reclassification</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Certain prior year amounts have been reclassified to conform to current year presentation.</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Recently Issued and Adopted Accounting Pronouncements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Company has reviewed recent accounting pronouncements and concluded that they are either not applicable to its business or that no material effect is expected on the condensed consolidated financial statements as a result of their future adoption.</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_page">
        <w:r>
          <w:rPr>
            <w:rStyle w:val="InternetLink"/>
            <w:rFonts w:ascii="Times New Roman;serif" w:hAnsi="Times New Roman;serif"/>
            <w:b w:val="false"/>
            <w:sz w:val="18"/>
            <w:u w:val="single"/>
          </w:rPr>
          <w:t>Table of Contents</w:t>
        </w:r>
      </w:hyperlink>
    </w:p>
    <w:p>
      <w:pPr>
        <w:pStyle w:val="TextBody"/>
        <w:bidi w:val="0"/>
        <w:spacing w:before="300" w:after="0"/>
        <w:jc w:val="both"/>
        <w:rPr>
          <w:rFonts w:ascii="Times New Roman;serif" w:hAnsi="Times New Roman;serif"/>
          <w:b/>
          <w:sz w:val="20"/>
        </w:rPr>
      </w:pPr>
      <w:r>
        <w:rPr>
          <w:rFonts w:ascii="Times New Roman;serif" w:hAnsi="Times New Roman;serif"/>
          <w:b/>
          <w:sz w:val="20"/>
        </w:rPr>
        <w:t>NOTE 3. REVENUE RECOGNITION</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Company recognizes revenue in accordance with ASC 606, “Revenue from Contracts with Customers”, when the Company satisfies its performance obligation to perform its defined contractual obligations to provide virtual behavioral healthcare services. Revenue is recognized in an amount that reflects the consideration that the Company will be entitled in exchange for the service rendered. To the extent the transaction price includes variable consideration, the Company estimates the amount of variable consideration that is included in the transaction price. Variable consideration is included in the transaction price to the extent it is probable that a significant reversal of cumulative revenue recognized will not occur when the uncertainty associated with the variable consideration is subsequently resolved.</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Through its platform, Talkspace serves its business-to-business (“B2B”) channel, comprised of large health insurance plans and employee assistance programs (“Payors”), and large enterprise clients (“DTE”) who offer their insured members and employees access to the Company's platform at in-network reimbursement rates, or while their employer is under an active contract with Talkspace, where applicable, and its business-to-consumer (“Consumer”) channel, comprised of individual consumers who subscribe directly to the Company's platform.</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Company contracts with Payors to provide its therapy and psychiatry services to their eligible covered members. Revenue is recognized at a point in time, as virtual therapy or psychiatry session is rendered. The transaction price is determined based on contracted rates and includes variable consideration in the form of implicit price concessions. The Company determines the total transaction price, including an estimate of variable consideration, at contract inception and reassesses this estimate at each reporting date. The Company estimates the amount of variable consideration that is included in the transaction price primarily based on historical collection experience for each insurance payor. Revenue from Payors is presented net of implicit price concessions. Contracts with Payors include annual evergreen clauses and generally may be terminated by either party typically upon a minimum 60-day advance notice.</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Company contracts with enterprises to provide access to its therapist platform for their employees, primarily based on a per-member-per-month access fee model. Revenues from access fees are recognized ratably over the contractual term. The majority of contracts with enterprise clients typically range in length from one to three years and are generally non-cancelable during the initial contractual term.</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Company also generates revenues from the sale of monthly, quarterly, bi-annual and annual membership subscriptions to the Company's therapy platform as well as supplementary a la carte offerings directly to individual consumers through a subscription plan. The Company recognizes consumer revenues ratably over the subscription period, beginning when therapy services commence. The Company recognizes revenues from supplementary a la carte offerings at a point in time, as virtual therapy session is rendered. Members may cancel their subscription at any time and will receive a pro-rata refund for the subscription price. The transaction price from member subscription revenue and supplementary a la carte offerings includes variable consideration in the form of refunds. The Company estimates the refund liability for the variable consideration portion of the transaction price primarily based on historical experience. The refund liability is recorded within the “Accrued expenses and other current liabilities” line item in the condensed consolidated balance sheets. Revenue from individual consumers is presented net of refunds.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following table presents the Company’s revenues from sales to unaffiliated customers disaggregated by revenue source:</w:t>
      </w:r>
    </w:p>
    <w:p>
      <w:pPr>
        <w:pStyle w:val="TextBody"/>
        <w:bidi w:val="0"/>
        <w:spacing w:before="0" w:after="0"/>
        <w:jc w:val="left"/>
        <w:rPr/>
      </w:pPr>
      <w:r>
        <w:rPr/>
        <w:t> </w:t>
      </w:r>
    </w:p>
    <w:tbl>
      <w:tblPr>
        <w:tblW w:w="8382" w:type="dxa"/>
        <w:jc w:val="left"/>
        <w:tblInd w:w="0" w:type="dxa"/>
        <w:tblLayout w:type="fixed"/>
        <w:tblCellMar>
          <w:top w:w="28" w:type="dxa"/>
          <w:left w:w="28" w:type="dxa"/>
          <w:bottom w:w="28" w:type="dxa"/>
          <w:right w:w="28" w:type="dxa"/>
        </w:tblCellMar>
      </w:tblPr>
      <w:tblGrid>
        <w:gridCol w:w="3421"/>
        <w:gridCol w:w="146"/>
        <w:gridCol w:w="231"/>
        <w:gridCol w:w="741"/>
        <w:gridCol w:w="160"/>
        <w:gridCol w:w="160"/>
        <w:gridCol w:w="231"/>
        <w:gridCol w:w="741"/>
        <w:gridCol w:w="146"/>
        <w:gridCol w:w="146"/>
        <w:gridCol w:w="211"/>
        <w:gridCol w:w="677"/>
        <w:gridCol w:w="146"/>
        <w:gridCol w:w="146"/>
        <w:gridCol w:w="211"/>
        <w:gridCol w:w="677"/>
        <w:gridCol w:w="1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21"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Unaudited</w:t>
            </w:r>
          </w:p>
        </w:tc>
        <w:tc>
          <w:tcPr>
            <w:tcW w:w="146" w:type="dxa"/>
            <w:tcBorders/>
            <w:vAlign w:val="center"/>
          </w:tcPr>
          <w:p>
            <w:pPr>
              <w:pStyle w:val="TableContents"/>
              <w:bidi w:val="0"/>
              <w:spacing w:before="0" w:after="0"/>
              <w:ind w:left="0" w:right="0" w:hanging="0"/>
              <w:jc w:val="center"/>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rFonts w:cs="Times New Roman;serif"/>
                <w:bCs w:val="false"/>
                <w:szCs w:val="16"/>
              </w:rPr>
            </w:pPr>
            <w:r>
              <w:rPr>
                <w:rFonts w:cs="Times New Roman;serif"/>
                <w:bCs w:val="false"/>
                <w:szCs w:val="16"/>
              </w:rPr>
              <w:t>﻿</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w:t>
            </w:r>
          </w:p>
        </w:tc>
        <w:tc>
          <w:tcPr>
            <w:tcW w:w="146" w:type="dxa"/>
            <w:tcBorders/>
            <w:vAlign w:val="center"/>
          </w:tcPr>
          <w:p>
            <w:pPr>
              <w:pStyle w:val="TableContents"/>
              <w:bidi w:val="0"/>
              <w:spacing w:before="0" w:after="0"/>
              <w:ind w:left="0" w:right="0" w:hanging="0"/>
              <w:jc w:val="center"/>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0" w:type="dxa"/>
            <w:tcBorders/>
            <w:vAlign w:val="center"/>
          </w:tcPr>
          <w:p>
            <w:pPr>
              <w:pStyle w:val="TableContents"/>
              <w:bidi w:val="0"/>
              <w:spacing w:before="0" w:after="0"/>
              <w:ind w:left="0" w:right="0" w:hanging="0"/>
              <w:jc w:val="center"/>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Revenues from sales to unaffiliated customers:</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center"/>
              <w:rPr/>
            </w:pPr>
            <w:r>
              <w:rPr/>
              <w:t> </w:t>
            </w:r>
          </w:p>
        </w:tc>
        <w:tc>
          <w:tcPr>
            <w:tcW w:w="160" w:type="dxa"/>
            <w:tcBorders/>
            <w:vAlign w:val="center"/>
          </w:tcPr>
          <w:p>
            <w:pPr>
              <w:pStyle w:val="TableContents"/>
              <w:bidi w:val="0"/>
              <w:spacing w:before="0" w:after="0"/>
              <w:ind w:left="0" w:right="0" w:hanging="0"/>
              <w:jc w:val="center"/>
              <w:rPr/>
            </w:pPr>
            <w:r>
              <w:rPr/>
              <w:t> </w:t>
            </w:r>
          </w:p>
        </w:tc>
        <w:tc>
          <w:tcPr>
            <w:tcW w:w="160" w:type="dxa"/>
            <w:tcBorders/>
            <w:vAlign w:val="center"/>
          </w:tcPr>
          <w:p>
            <w:pPr>
              <w:pStyle w:val="TableContents"/>
              <w:bidi w:val="0"/>
              <w:spacing w:before="0" w:after="0"/>
              <w:ind w:left="0" w:right="0" w:hanging="0"/>
              <w:jc w:val="right"/>
              <w:rPr/>
            </w:pPr>
            <w:r>
              <w:rPr/>
              <w:t> </w:t>
            </w:r>
          </w:p>
        </w:tc>
        <w:tc>
          <w:tcPr>
            <w:tcW w:w="97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rFonts w:cs="Times New Roman;serif"/>
                <w:bCs w:val="false"/>
                <w:szCs w:val="20"/>
              </w:rPr>
            </w:pPr>
            <w:r>
              <w:rPr>
                <w:rFonts w:cs="Times New Roman;serif"/>
                <w:bCs w:val="false"/>
                <w:szCs w:val="20"/>
              </w:rPr>
              <w:t>﻿</w:t>
            </w:r>
          </w:p>
        </w:tc>
        <w:tc>
          <w:tcPr>
            <w:tcW w:w="888"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8" w:type="dxa"/>
            <w:gridSpan w:val="2"/>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Payor revenue</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18,539</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righ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33,350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15,990</w:t>
            </w:r>
          </w:p>
        </w:tc>
        <w:tc>
          <w:tcPr>
            <w:tcW w:w="191" w:type="dxa"/>
            <w:tcBorders/>
            <w:vAlign w:val="center"/>
          </w:tcPr>
          <w:p>
            <w:pPr>
              <w:pStyle w:val="TableContents"/>
              <w:bidi w:val="0"/>
              <w:spacing w:before="0" w:after="0"/>
              <w:ind w:left="0" w:right="0" w:hanging="0"/>
              <w:jc w:val="left"/>
              <w:rPr/>
            </w:pPr>
            <w:r>
              <w:rPr/>
              <w:t> </w:t>
            </w:r>
          </w:p>
        </w:tc>
      </w:tr>
      <w:tr>
        <w:trPr/>
        <w:tc>
          <w:tcPr>
            <w:tcW w:w="342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DTE revenue</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8,039</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righ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6,685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16,715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12,346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B2B revenue</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26,578</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righ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28,336</w:t>
            </w:r>
          </w:p>
        </w:tc>
        <w:tc>
          <w:tcPr>
            <w:tcW w:w="191" w:type="dxa"/>
            <w:tcBorders/>
            <w:vAlign w:val="center"/>
          </w:tcPr>
          <w:p>
            <w:pPr>
              <w:pStyle w:val="TableContents"/>
              <w:bidi w:val="0"/>
              <w:spacing w:before="0" w:after="0"/>
              <w:ind w:left="0" w:right="0" w:hanging="0"/>
              <w:jc w:val="left"/>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Consumer revenue</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9,067</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15,279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cs="Times New Roman;serif"/>
                <w:bCs w:val="false"/>
                <w:szCs w:val="20"/>
              </w:rPr>
            </w:pPr>
            <w:r>
              <w:rPr>
                <w:rFonts w:cs="Times New Roman;serif"/>
                <w:bCs w:val="false"/>
                <w:szCs w:val="20"/>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31,658</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35,645</w:t>
            </w:r>
          </w:p>
        </w:tc>
        <w:tc>
          <w:tcPr>
            <w:tcW w:w="1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29,844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cs="Times New Roman;serif"/>
                <w:bCs w:val="false"/>
                <w:szCs w:val="20"/>
              </w:rPr>
            </w:pPr>
            <w:r>
              <w:rPr>
                <w:rFonts w:cs="Times New Roman;serif"/>
                <w:bCs w:val="false"/>
                <w:szCs w:val="20"/>
              </w:rPr>
              <w:t>﻿</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68,981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59,994</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_page">
        <w:r>
          <w:rPr>
            <w:rStyle w:val="InternetLink"/>
            <w:rFonts w:ascii="Times New Roman;serif" w:hAnsi="Times New Roman;serif"/>
            <w:b w:val="false"/>
            <w:sz w:val="18"/>
            <w:u w:val="single"/>
          </w:rPr>
          <w:t>Table of Contents</w:t>
        </w:r>
      </w:hyperlink>
    </w:p>
    <w:p>
      <w:pPr>
        <w:pStyle w:val="TextBody"/>
        <w:bidi w:val="0"/>
        <w:spacing w:before="300" w:after="0"/>
        <w:jc w:val="left"/>
        <w:rPr>
          <w:rFonts w:ascii="Times New Roman;serif" w:hAnsi="Times New Roman;serif"/>
          <w:b w:val="false"/>
          <w:i/>
          <w:sz w:val="20"/>
        </w:rPr>
      </w:pPr>
      <w:r>
        <w:rPr>
          <w:rFonts w:ascii="Times New Roman;serif" w:hAnsi="Times New Roman;serif"/>
          <w:b w:val="false"/>
          <w:i/>
          <w:sz w:val="20"/>
        </w:rPr>
        <w:t>Accounts Receivable and Allowance for Credit Losses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Accounts receivables are stated net of credit losses allowance. The Company is exposed to credit losses primarily through its contracts with health insurance plans, employee assistance programs and enterprise clients. The Company’s methodology for estimating credit loss is based on historical collection experience, customer creditworthiness, current and future economic condition and market condition. Additionally, specific allowance amounts are established to record the appropriate provision for customers that have a higher probability of default. Accounts receivables are written off after all reasonable means to collect the full amount have been exhausted. The allowance for credit losses was immaterial as of June 30, 2023 and December 31, 2022.</w:t>
      </w:r>
    </w:p>
    <w:p>
      <w:pPr>
        <w:pStyle w:val="TextBody"/>
        <w:bidi w:val="0"/>
        <w:spacing w:before="0" w:after="0"/>
        <w:jc w:val="both"/>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Deferred Revenue</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Company records deferred revenues when cash payments from customers are received in advance of the Company's performance obligation to provide services. As of June 30, 2023, deferred revenue related mainly to the Company’s consumer channel. The Company expects to satisfy the majority of its performance obligations associated with deferred revenue within one year or less.</w:t>
      </w:r>
    </w:p>
    <w:p>
      <w:pPr>
        <w:pStyle w:val="TextBody"/>
        <w:bidi w:val="0"/>
        <w:spacing w:before="360" w:after="0"/>
        <w:jc w:val="both"/>
        <w:rPr>
          <w:rFonts w:ascii="Times New Roman;serif" w:hAnsi="Times New Roman;serif"/>
          <w:b/>
          <w:sz w:val="20"/>
        </w:rPr>
      </w:pPr>
      <w:r>
        <w:rPr>
          <w:rFonts w:ascii="Times New Roman;serif" w:hAnsi="Times New Roman;serif"/>
          <w:b/>
          <w:sz w:val="20"/>
        </w:rPr>
        <w:t>NOTE 4. FAIR VALUE MEASUREMENT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carrying value of the Company’s cash equivalents, accounts receivable, accounts payable, and accrued liabilities approximate fair value because of the relatively short-term nature of the underlying assets. The Company’s Private Placement Warrants are carried at fair value with changes in fair value recognized in earnings each period.</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Private Placement Warrants are accounted for as liabilities in accordance with ASC 815-40 and are presented within warrant liabilities in the accompanying condensed consolidated balance sheets. The warrant liabilities were measured at fair value at inception and thereafter on a recurring, quarterly basis, with changes in fair value presented within financial (income) expense, net, in the condensed consolidated statement of operations.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Private Placement Warrants were valued using the Black-Scholes-Merton Model, which is considered to be a Level 3 fair value measurement. The primary unobservable input utilized in determining the fair value of the Private Placement Warrants is the implied volatility from the trading prices of the Public Warrants.</w:t>
      </w:r>
    </w:p>
    <w:p>
      <w:pPr>
        <w:pStyle w:val="TextBody"/>
        <w:bidi w:val="0"/>
        <w:spacing w:before="240" w:after="240"/>
        <w:jc w:val="both"/>
        <w:rPr>
          <w:rFonts w:ascii="Times New Roman;serif" w:hAnsi="Times New Roman;serif"/>
          <w:b w:val="false"/>
          <w:sz w:val="20"/>
        </w:rPr>
      </w:pPr>
      <w:r>
        <w:rPr>
          <w:rFonts w:ascii="Times New Roman;serif" w:hAnsi="Times New Roman;serif"/>
          <w:b w:val="false"/>
          <w:sz w:val="20"/>
        </w:rPr>
        <w:t>The following table presents the changes in the fair value of warrant liabilities during the three and six months ended June 30, 2023 and 2022:</w:t>
      </w:r>
    </w:p>
    <w:tbl>
      <w:tblPr>
        <w:tblW w:w="7679" w:type="dxa"/>
        <w:jc w:val="left"/>
        <w:tblInd w:w="0" w:type="dxa"/>
        <w:tblLayout w:type="fixed"/>
        <w:tblCellMar>
          <w:top w:w="28" w:type="dxa"/>
          <w:left w:w="28" w:type="dxa"/>
          <w:bottom w:w="28" w:type="dxa"/>
          <w:right w:w="28" w:type="dxa"/>
        </w:tblCellMar>
      </w:tblPr>
      <w:tblGrid>
        <w:gridCol w:w="2341"/>
        <w:gridCol w:w="146"/>
        <w:gridCol w:w="387"/>
        <w:gridCol w:w="1053"/>
        <w:gridCol w:w="161"/>
        <w:gridCol w:w="161"/>
        <w:gridCol w:w="448"/>
        <w:gridCol w:w="1217"/>
        <w:gridCol w:w="183"/>
        <w:gridCol w:w="161"/>
        <w:gridCol w:w="331"/>
        <w:gridCol w:w="899"/>
        <w:gridCol w:w="19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001" w:type="dxa"/>
            <w:gridSpan w:val="10"/>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Level 3 Liabilities (unaudited)</w:t>
            </w:r>
          </w:p>
        </w:tc>
        <w:tc>
          <w:tcPr>
            <w:tcW w:w="191" w:type="dxa"/>
            <w:tcBorders/>
            <w:vAlign w:val="center"/>
          </w:tcPr>
          <w:p>
            <w:pPr>
              <w:pStyle w:val="TableContents"/>
              <w:bidi w:val="0"/>
              <w:spacing w:before="0" w:after="0"/>
              <w:ind w:left="0" w:right="0" w:hanging="0"/>
              <w:jc w:val="center"/>
              <w:rPr/>
            </w:pPr>
            <w:r>
              <w:rPr/>
              <w:t> </w:t>
            </w:r>
          </w:p>
        </w:tc>
      </w:tr>
      <w:tr>
        <w:trPr/>
        <w:tc>
          <w:tcPr>
            <w:tcW w:w="23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001"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June 30, 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41"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w:t>
            </w:r>
          </w:p>
        </w:tc>
        <w:tc>
          <w:tcPr>
            <w:tcW w:w="146" w:type="dxa"/>
            <w:tcBorders/>
            <w:vAlign w:val="center"/>
          </w:tcPr>
          <w:p>
            <w:pPr>
              <w:pStyle w:val="TableContents"/>
              <w:bidi w:val="0"/>
              <w:spacing w:before="0" w:after="0"/>
              <w:ind w:left="0" w:right="0" w:hanging="0"/>
              <w:jc w:val="left"/>
              <w:rPr/>
            </w:pPr>
            <w:r>
              <w:rPr/>
              <w:t> </w:t>
            </w:r>
          </w:p>
        </w:tc>
        <w:tc>
          <w:tcPr>
            <w:tcW w:w="14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Beginning Balance</w:t>
            </w:r>
          </w:p>
        </w:tc>
        <w:tc>
          <w:tcPr>
            <w:tcW w:w="1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1" w:type="dxa"/>
            <w:tcBorders/>
            <w:vAlign w:val="center"/>
          </w:tcPr>
          <w:p>
            <w:pPr>
              <w:pStyle w:val="TableContents"/>
              <w:bidi w:val="0"/>
              <w:spacing w:before="0" w:after="0"/>
              <w:ind w:left="0" w:right="0" w:hanging="0"/>
              <w:jc w:val="center"/>
              <w:rPr/>
            </w:pPr>
            <w:r>
              <w:rPr/>
              <w:t> </w:t>
            </w:r>
          </w:p>
        </w:tc>
        <w:tc>
          <w:tcPr>
            <w:tcW w:w="16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 in Fair Value</w:t>
            </w:r>
          </w:p>
        </w:tc>
        <w:tc>
          <w:tcPr>
            <w:tcW w:w="1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1" w:type="dxa"/>
            <w:tcBorders/>
            <w:vAlign w:val="center"/>
          </w:tcPr>
          <w:p>
            <w:pPr>
              <w:pStyle w:val="TableContents"/>
              <w:bidi w:val="0"/>
              <w:spacing w:before="0" w:after="0"/>
              <w:ind w:left="0" w:right="0" w:hanging="0"/>
              <w:jc w:val="center"/>
              <w:rPr/>
            </w:pPr>
            <w:r>
              <w:rPr/>
              <w:t> </w:t>
            </w:r>
          </w:p>
        </w:tc>
        <w:tc>
          <w:tcPr>
            <w:tcW w:w="12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Ending Balance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Private Placement Warrants</w:t>
            </w:r>
          </w:p>
        </w:tc>
        <w:tc>
          <w:tcPr>
            <w:tcW w:w="146" w:type="dxa"/>
            <w:tcBorders/>
            <w:vAlign w:val="center"/>
          </w:tcPr>
          <w:p>
            <w:pPr>
              <w:pStyle w:val="TableContents"/>
              <w:bidi w:val="0"/>
              <w:spacing w:before="0" w:after="0"/>
              <w:ind w:left="0" w:right="0" w:hanging="0"/>
              <w:jc w:val="left"/>
              <w:rPr/>
            </w:pPr>
            <w:r>
              <w:rPr/>
              <w:t> </w:t>
            </w:r>
          </w:p>
        </w:tc>
        <w:tc>
          <w:tcPr>
            <w:tcW w:w="38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1,128</w:t>
            </w:r>
          </w:p>
        </w:tc>
        <w:tc>
          <w:tcPr>
            <w:tcW w:w="161"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right"/>
              <w:rPr/>
            </w:pPr>
            <w:r>
              <w:rPr/>
              <w:t> </w:t>
            </w:r>
          </w:p>
        </w:tc>
        <w:tc>
          <w:tcPr>
            <w:tcW w:w="4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w:t>
            </w:r>
          </w:p>
        </w:tc>
        <w:tc>
          <w:tcPr>
            <w:tcW w:w="1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1" w:type="dxa"/>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820</w:t>
            </w:r>
          </w:p>
        </w:tc>
        <w:tc>
          <w:tcPr>
            <w:tcW w:w="191" w:type="dxa"/>
            <w:tcBorders/>
            <w:vAlign w:val="center"/>
          </w:tcPr>
          <w:p>
            <w:pPr>
              <w:pStyle w:val="TableContents"/>
              <w:bidi w:val="0"/>
              <w:spacing w:before="0" w:after="0"/>
              <w:ind w:left="0" w:right="0" w:hanging="0"/>
              <w:jc w:val="left"/>
              <w:rPr/>
            </w:pPr>
            <w:r>
              <w:rPr/>
              <w:t> </w:t>
            </w:r>
          </w:p>
        </w:tc>
      </w:tr>
      <w:tr>
        <w:trPr/>
        <w:tc>
          <w:tcPr>
            <w:tcW w:w="23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40" w:type="dxa"/>
            <w:gridSpan w:val="2"/>
            <w:tcBorders/>
            <w:vAlign w:val="center"/>
          </w:tcPr>
          <w:p>
            <w:pPr>
              <w:pStyle w:val="TableContents"/>
              <w:bidi w:val="0"/>
              <w:spacing w:before="0" w:after="0"/>
              <w:ind w:left="0" w:right="0" w:hanging="0"/>
              <w:jc w:val="right"/>
              <w:rPr/>
            </w:pPr>
            <w:r>
              <w:rPr/>
              <w:t> </w:t>
            </w:r>
          </w:p>
        </w:tc>
        <w:tc>
          <w:tcPr>
            <w:tcW w:w="161" w:type="dxa"/>
            <w:tcBorders/>
            <w:vAlign w:val="center"/>
          </w:tcPr>
          <w:p>
            <w:pPr>
              <w:pStyle w:val="TableContents"/>
              <w:bidi w:val="0"/>
              <w:spacing w:before="0" w:after="0"/>
              <w:ind w:left="0" w:right="0" w:hanging="0"/>
              <w:jc w:val="right"/>
              <w:rPr/>
            </w:pPr>
            <w:r>
              <w:rPr/>
              <w:t> </w:t>
            </w:r>
          </w:p>
        </w:tc>
        <w:tc>
          <w:tcPr>
            <w:tcW w:w="161" w:type="dxa"/>
            <w:tcBorders/>
            <w:vAlign w:val="center"/>
          </w:tcPr>
          <w:p>
            <w:pPr>
              <w:pStyle w:val="TableContents"/>
              <w:bidi w:val="0"/>
              <w:spacing w:before="0" w:after="0"/>
              <w:ind w:left="0" w:right="0" w:hanging="0"/>
              <w:jc w:val="right"/>
              <w:rPr/>
            </w:pPr>
            <w:r>
              <w:rPr/>
              <w:t> </w:t>
            </w:r>
          </w:p>
        </w:tc>
        <w:tc>
          <w:tcPr>
            <w:tcW w:w="1665" w:type="dxa"/>
            <w:gridSpan w:val="2"/>
            <w:tcBorders/>
            <w:vAlign w:val="center"/>
          </w:tcPr>
          <w:p>
            <w:pPr>
              <w:pStyle w:val="TableContents"/>
              <w:bidi w:val="0"/>
              <w:spacing w:before="0" w:after="0"/>
              <w:ind w:left="0" w:right="0" w:hanging="0"/>
              <w:jc w:val="right"/>
              <w:rPr/>
            </w:pPr>
            <w:r>
              <w:rPr/>
              <w:t> </w:t>
            </w:r>
          </w:p>
        </w:tc>
        <w:tc>
          <w:tcPr>
            <w:tcW w:w="183" w:type="dxa"/>
            <w:tcBorders/>
            <w:vAlign w:val="center"/>
          </w:tcPr>
          <w:p>
            <w:pPr>
              <w:pStyle w:val="TableContents"/>
              <w:bidi w:val="0"/>
              <w:spacing w:before="0" w:after="0"/>
              <w:ind w:left="0" w:right="0" w:hanging="0"/>
              <w:jc w:val="right"/>
              <w:rPr/>
            </w:pPr>
            <w:r>
              <w:rPr/>
              <w:t> </w:t>
            </w:r>
          </w:p>
        </w:tc>
        <w:tc>
          <w:tcPr>
            <w:tcW w:w="161" w:type="dxa"/>
            <w:tcBorders/>
            <w:vAlign w:val="center"/>
          </w:tcPr>
          <w:p>
            <w:pPr>
              <w:pStyle w:val="TableContents"/>
              <w:bidi w:val="0"/>
              <w:spacing w:before="0" w:after="0"/>
              <w:ind w:left="0" w:right="0" w:hanging="0"/>
              <w:jc w:val="right"/>
              <w:rPr/>
            </w:pPr>
            <w:r>
              <w:rPr/>
              <w:t> </w:t>
            </w:r>
          </w:p>
        </w:tc>
        <w:tc>
          <w:tcPr>
            <w:tcW w:w="1230"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23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001"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 Ended June 30, 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41"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w:t>
            </w:r>
          </w:p>
        </w:tc>
        <w:tc>
          <w:tcPr>
            <w:tcW w:w="146" w:type="dxa"/>
            <w:tcBorders/>
            <w:vAlign w:val="center"/>
          </w:tcPr>
          <w:p>
            <w:pPr>
              <w:pStyle w:val="TableContents"/>
              <w:bidi w:val="0"/>
              <w:spacing w:before="0" w:after="0"/>
              <w:ind w:left="0" w:right="0" w:hanging="0"/>
              <w:jc w:val="left"/>
              <w:rPr/>
            </w:pPr>
            <w:r>
              <w:rPr/>
              <w:t> </w:t>
            </w:r>
          </w:p>
        </w:tc>
        <w:tc>
          <w:tcPr>
            <w:tcW w:w="14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Beginning Balance</w:t>
            </w:r>
          </w:p>
        </w:tc>
        <w:tc>
          <w:tcPr>
            <w:tcW w:w="1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1" w:type="dxa"/>
            <w:tcBorders/>
            <w:vAlign w:val="center"/>
          </w:tcPr>
          <w:p>
            <w:pPr>
              <w:pStyle w:val="TableContents"/>
              <w:bidi w:val="0"/>
              <w:spacing w:before="0" w:after="0"/>
              <w:ind w:left="0" w:right="0" w:hanging="0"/>
              <w:jc w:val="center"/>
              <w:rPr/>
            </w:pPr>
            <w:r>
              <w:rPr/>
              <w:t> </w:t>
            </w:r>
          </w:p>
        </w:tc>
        <w:tc>
          <w:tcPr>
            <w:tcW w:w="16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 in Fair Value</w:t>
            </w:r>
          </w:p>
        </w:tc>
        <w:tc>
          <w:tcPr>
            <w:tcW w:w="1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1" w:type="dxa"/>
            <w:tcBorders/>
            <w:vAlign w:val="center"/>
          </w:tcPr>
          <w:p>
            <w:pPr>
              <w:pStyle w:val="TableContents"/>
              <w:bidi w:val="0"/>
              <w:spacing w:before="0" w:after="0"/>
              <w:ind w:left="0" w:right="0" w:hanging="0"/>
              <w:jc w:val="center"/>
              <w:rPr/>
            </w:pPr>
            <w:r>
              <w:rPr/>
              <w:t> </w:t>
            </w:r>
          </w:p>
        </w:tc>
        <w:tc>
          <w:tcPr>
            <w:tcW w:w="12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Ending Balance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Private Placement Warrants</w:t>
            </w:r>
          </w:p>
        </w:tc>
        <w:tc>
          <w:tcPr>
            <w:tcW w:w="146" w:type="dxa"/>
            <w:tcBorders/>
            <w:vAlign w:val="center"/>
          </w:tcPr>
          <w:p>
            <w:pPr>
              <w:pStyle w:val="TableContents"/>
              <w:bidi w:val="0"/>
              <w:spacing w:before="0" w:after="0"/>
              <w:ind w:left="0" w:right="0" w:hanging="0"/>
              <w:jc w:val="left"/>
              <w:rPr/>
            </w:pPr>
            <w:r>
              <w:rPr/>
              <w:t> </w:t>
            </w:r>
          </w:p>
        </w:tc>
        <w:tc>
          <w:tcPr>
            <w:tcW w:w="38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939</w:t>
            </w:r>
          </w:p>
        </w:tc>
        <w:tc>
          <w:tcPr>
            <w:tcW w:w="161"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right"/>
              <w:rPr/>
            </w:pPr>
            <w:r>
              <w:rPr/>
              <w:t> </w:t>
            </w:r>
          </w:p>
        </w:tc>
        <w:tc>
          <w:tcPr>
            <w:tcW w:w="4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w:t>
            </w:r>
          </w:p>
        </w:tc>
        <w:tc>
          <w:tcPr>
            <w:tcW w:w="1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1" w:type="dxa"/>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820</w:t>
            </w:r>
          </w:p>
        </w:tc>
        <w:tc>
          <w:tcPr>
            <w:tcW w:w="191" w:type="dxa"/>
            <w:tcBorders/>
            <w:vAlign w:val="center"/>
          </w:tcPr>
          <w:p>
            <w:pPr>
              <w:pStyle w:val="TableContents"/>
              <w:bidi w:val="0"/>
              <w:spacing w:before="0" w:after="0"/>
              <w:ind w:left="0" w:right="0" w:hanging="0"/>
              <w:jc w:val="left"/>
              <w:rPr/>
            </w:pPr>
            <w:r>
              <w:rPr/>
              <w:t> </w:t>
            </w:r>
          </w:p>
        </w:tc>
      </w:tr>
      <w:tr>
        <w:trPr/>
        <w:tc>
          <w:tcPr>
            <w:tcW w:w="23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40" w:type="dxa"/>
            <w:gridSpan w:val="2"/>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1665" w:type="dxa"/>
            <w:gridSpan w:val="2"/>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left"/>
              <w:rPr/>
            </w:pPr>
            <w:r>
              <w:rPr/>
              <w:t> </w:t>
            </w:r>
          </w:p>
        </w:tc>
        <w:tc>
          <w:tcPr>
            <w:tcW w:w="1230"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3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001" w:type="dxa"/>
            <w:gridSpan w:val="10"/>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Level 3 Liabilities (unaudited)</w:t>
            </w:r>
          </w:p>
        </w:tc>
        <w:tc>
          <w:tcPr>
            <w:tcW w:w="191" w:type="dxa"/>
            <w:tcBorders/>
            <w:vAlign w:val="center"/>
          </w:tcPr>
          <w:p>
            <w:pPr>
              <w:pStyle w:val="TableContents"/>
              <w:bidi w:val="0"/>
              <w:spacing w:before="0" w:after="0"/>
              <w:ind w:left="0" w:right="0" w:hanging="0"/>
              <w:jc w:val="center"/>
              <w:rPr/>
            </w:pPr>
            <w:r>
              <w:rPr/>
              <w:t> </w:t>
            </w:r>
          </w:p>
        </w:tc>
      </w:tr>
      <w:tr>
        <w:trPr/>
        <w:tc>
          <w:tcPr>
            <w:tcW w:w="23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001"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June 30,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41"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w:t>
            </w:r>
          </w:p>
        </w:tc>
        <w:tc>
          <w:tcPr>
            <w:tcW w:w="146" w:type="dxa"/>
            <w:tcBorders/>
            <w:vAlign w:val="center"/>
          </w:tcPr>
          <w:p>
            <w:pPr>
              <w:pStyle w:val="TableContents"/>
              <w:bidi w:val="0"/>
              <w:spacing w:before="0" w:after="0"/>
              <w:ind w:left="0" w:right="0" w:hanging="0"/>
              <w:jc w:val="left"/>
              <w:rPr/>
            </w:pPr>
            <w:r>
              <w:rPr/>
              <w:t> </w:t>
            </w:r>
          </w:p>
        </w:tc>
        <w:tc>
          <w:tcPr>
            <w:tcW w:w="14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Beginning Balance</w:t>
            </w:r>
          </w:p>
        </w:tc>
        <w:tc>
          <w:tcPr>
            <w:tcW w:w="1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1" w:type="dxa"/>
            <w:tcBorders/>
            <w:vAlign w:val="center"/>
          </w:tcPr>
          <w:p>
            <w:pPr>
              <w:pStyle w:val="TableContents"/>
              <w:bidi w:val="0"/>
              <w:spacing w:before="0" w:after="0"/>
              <w:ind w:left="0" w:right="0" w:hanging="0"/>
              <w:jc w:val="center"/>
              <w:rPr/>
            </w:pPr>
            <w:r>
              <w:rPr/>
              <w:t> </w:t>
            </w:r>
          </w:p>
        </w:tc>
        <w:tc>
          <w:tcPr>
            <w:tcW w:w="16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 in Fair Value</w:t>
            </w:r>
          </w:p>
        </w:tc>
        <w:tc>
          <w:tcPr>
            <w:tcW w:w="1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1" w:type="dxa"/>
            <w:tcBorders/>
            <w:vAlign w:val="center"/>
          </w:tcPr>
          <w:p>
            <w:pPr>
              <w:pStyle w:val="TableContents"/>
              <w:bidi w:val="0"/>
              <w:spacing w:before="0" w:after="0"/>
              <w:ind w:left="0" w:right="0" w:hanging="0"/>
              <w:jc w:val="center"/>
              <w:rPr/>
            </w:pPr>
            <w:r>
              <w:rPr/>
              <w:t> </w:t>
            </w:r>
          </w:p>
        </w:tc>
        <w:tc>
          <w:tcPr>
            <w:tcW w:w="12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Ending Balance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Private Placement Warrants</w:t>
            </w:r>
          </w:p>
        </w:tc>
        <w:tc>
          <w:tcPr>
            <w:tcW w:w="146" w:type="dxa"/>
            <w:tcBorders/>
            <w:vAlign w:val="center"/>
          </w:tcPr>
          <w:p>
            <w:pPr>
              <w:pStyle w:val="TableContents"/>
              <w:bidi w:val="0"/>
              <w:spacing w:before="0" w:after="0"/>
              <w:ind w:left="0" w:right="0" w:hanging="0"/>
              <w:jc w:val="left"/>
              <w:rPr/>
            </w:pPr>
            <w:r>
              <w:rPr/>
              <w:t> </w:t>
            </w:r>
          </w:p>
        </w:tc>
        <w:tc>
          <w:tcPr>
            <w:tcW w:w="38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3,195</w:t>
            </w:r>
          </w:p>
        </w:tc>
        <w:tc>
          <w:tcPr>
            <w:tcW w:w="161"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right"/>
              <w:rPr/>
            </w:pPr>
            <w:r>
              <w:rPr/>
              <w:t> </w:t>
            </w:r>
          </w:p>
        </w:tc>
        <w:tc>
          <w:tcPr>
            <w:tcW w:w="4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2,092</w:t>
            </w:r>
          </w:p>
        </w:tc>
        <w:tc>
          <w:tcPr>
            <w:tcW w:w="183"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5,287</w:t>
            </w:r>
          </w:p>
        </w:tc>
        <w:tc>
          <w:tcPr>
            <w:tcW w:w="191" w:type="dxa"/>
            <w:tcBorders/>
            <w:vAlign w:val="center"/>
          </w:tcPr>
          <w:p>
            <w:pPr>
              <w:pStyle w:val="TableContents"/>
              <w:bidi w:val="0"/>
              <w:spacing w:before="0" w:after="0"/>
              <w:ind w:left="0" w:right="0" w:hanging="0"/>
              <w:jc w:val="left"/>
              <w:rPr/>
            </w:pPr>
            <w:r>
              <w:rPr/>
              <w:t> </w:t>
            </w:r>
          </w:p>
        </w:tc>
      </w:tr>
      <w:tr>
        <w:trPr/>
        <w:tc>
          <w:tcPr>
            <w:tcW w:w="23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40" w:type="dxa"/>
            <w:gridSpan w:val="2"/>
            <w:tcBorders/>
            <w:vAlign w:val="center"/>
          </w:tcPr>
          <w:p>
            <w:pPr>
              <w:pStyle w:val="TableContents"/>
              <w:bidi w:val="0"/>
              <w:spacing w:before="0" w:after="0"/>
              <w:ind w:left="0" w:right="0" w:hanging="0"/>
              <w:jc w:val="right"/>
              <w:rPr/>
            </w:pPr>
            <w:r>
              <w:rPr/>
              <w:t> </w:t>
            </w:r>
          </w:p>
        </w:tc>
        <w:tc>
          <w:tcPr>
            <w:tcW w:w="161" w:type="dxa"/>
            <w:tcBorders/>
            <w:vAlign w:val="center"/>
          </w:tcPr>
          <w:p>
            <w:pPr>
              <w:pStyle w:val="TableContents"/>
              <w:bidi w:val="0"/>
              <w:spacing w:before="0" w:after="0"/>
              <w:ind w:left="0" w:right="0" w:hanging="0"/>
              <w:jc w:val="right"/>
              <w:rPr/>
            </w:pPr>
            <w:r>
              <w:rPr/>
              <w:t> </w:t>
            </w:r>
          </w:p>
        </w:tc>
        <w:tc>
          <w:tcPr>
            <w:tcW w:w="161" w:type="dxa"/>
            <w:tcBorders/>
            <w:vAlign w:val="center"/>
          </w:tcPr>
          <w:p>
            <w:pPr>
              <w:pStyle w:val="TableContents"/>
              <w:bidi w:val="0"/>
              <w:spacing w:before="0" w:after="0"/>
              <w:ind w:left="0" w:right="0" w:hanging="0"/>
              <w:jc w:val="right"/>
              <w:rPr/>
            </w:pPr>
            <w:r>
              <w:rPr/>
              <w:t> </w:t>
            </w:r>
          </w:p>
        </w:tc>
        <w:tc>
          <w:tcPr>
            <w:tcW w:w="1665" w:type="dxa"/>
            <w:gridSpan w:val="2"/>
            <w:tcBorders/>
            <w:vAlign w:val="center"/>
          </w:tcPr>
          <w:p>
            <w:pPr>
              <w:pStyle w:val="TableContents"/>
              <w:bidi w:val="0"/>
              <w:spacing w:before="0" w:after="0"/>
              <w:ind w:left="0" w:right="0" w:hanging="0"/>
              <w:jc w:val="right"/>
              <w:rPr/>
            </w:pPr>
            <w:r>
              <w:rPr/>
              <w:t> </w:t>
            </w:r>
          </w:p>
        </w:tc>
        <w:tc>
          <w:tcPr>
            <w:tcW w:w="183" w:type="dxa"/>
            <w:tcBorders/>
            <w:vAlign w:val="center"/>
          </w:tcPr>
          <w:p>
            <w:pPr>
              <w:pStyle w:val="TableContents"/>
              <w:bidi w:val="0"/>
              <w:spacing w:before="0" w:after="0"/>
              <w:ind w:left="0" w:right="0" w:hanging="0"/>
              <w:jc w:val="right"/>
              <w:rPr/>
            </w:pPr>
            <w:r>
              <w:rPr/>
              <w:t> </w:t>
            </w:r>
          </w:p>
        </w:tc>
        <w:tc>
          <w:tcPr>
            <w:tcW w:w="161" w:type="dxa"/>
            <w:tcBorders/>
            <w:vAlign w:val="center"/>
          </w:tcPr>
          <w:p>
            <w:pPr>
              <w:pStyle w:val="TableContents"/>
              <w:bidi w:val="0"/>
              <w:spacing w:before="0" w:after="0"/>
              <w:ind w:left="0" w:right="0" w:hanging="0"/>
              <w:jc w:val="right"/>
              <w:rPr/>
            </w:pPr>
            <w:r>
              <w:rPr/>
              <w:t> </w:t>
            </w:r>
          </w:p>
        </w:tc>
        <w:tc>
          <w:tcPr>
            <w:tcW w:w="1230"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23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001"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 Ended June 30,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41"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w:t>
            </w:r>
          </w:p>
        </w:tc>
        <w:tc>
          <w:tcPr>
            <w:tcW w:w="146" w:type="dxa"/>
            <w:tcBorders/>
            <w:vAlign w:val="center"/>
          </w:tcPr>
          <w:p>
            <w:pPr>
              <w:pStyle w:val="TableContents"/>
              <w:bidi w:val="0"/>
              <w:spacing w:before="0" w:after="0"/>
              <w:ind w:left="0" w:right="0" w:hanging="0"/>
              <w:jc w:val="left"/>
              <w:rPr/>
            </w:pPr>
            <w:r>
              <w:rPr/>
              <w:t> </w:t>
            </w:r>
          </w:p>
        </w:tc>
        <w:tc>
          <w:tcPr>
            <w:tcW w:w="14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Beginning Balance</w:t>
            </w:r>
          </w:p>
        </w:tc>
        <w:tc>
          <w:tcPr>
            <w:tcW w:w="1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1" w:type="dxa"/>
            <w:tcBorders/>
            <w:vAlign w:val="center"/>
          </w:tcPr>
          <w:p>
            <w:pPr>
              <w:pStyle w:val="TableContents"/>
              <w:bidi w:val="0"/>
              <w:spacing w:before="0" w:after="0"/>
              <w:ind w:left="0" w:right="0" w:hanging="0"/>
              <w:jc w:val="center"/>
              <w:rPr/>
            </w:pPr>
            <w:r>
              <w:rPr/>
              <w:t> </w:t>
            </w:r>
          </w:p>
        </w:tc>
        <w:tc>
          <w:tcPr>
            <w:tcW w:w="16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 in Fair Value</w:t>
            </w:r>
          </w:p>
        </w:tc>
        <w:tc>
          <w:tcPr>
            <w:tcW w:w="1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1" w:type="dxa"/>
            <w:tcBorders/>
            <w:vAlign w:val="center"/>
          </w:tcPr>
          <w:p>
            <w:pPr>
              <w:pStyle w:val="TableContents"/>
              <w:bidi w:val="0"/>
              <w:spacing w:before="0" w:after="0"/>
              <w:ind w:left="0" w:right="0" w:hanging="0"/>
              <w:jc w:val="center"/>
              <w:rPr/>
            </w:pPr>
            <w:r>
              <w:rPr/>
              <w:t> </w:t>
            </w:r>
          </w:p>
        </w:tc>
        <w:tc>
          <w:tcPr>
            <w:tcW w:w="12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Ending Balance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Private Placement Warrants</w:t>
            </w:r>
          </w:p>
        </w:tc>
        <w:tc>
          <w:tcPr>
            <w:tcW w:w="146" w:type="dxa"/>
            <w:tcBorders/>
            <w:vAlign w:val="center"/>
          </w:tcPr>
          <w:p>
            <w:pPr>
              <w:pStyle w:val="TableContents"/>
              <w:bidi w:val="0"/>
              <w:spacing w:before="0" w:after="0"/>
              <w:ind w:left="0" w:right="0" w:hanging="0"/>
              <w:jc w:val="right"/>
              <w:rPr/>
            </w:pPr>
            <w:r>
              <w:rPr/>
              <w:t> </w:t>
            </w:r>
          </w:p>
        </w:tc>
        <w:tc>
          <w:tcPr>
            <w:tcW w:w="38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4,070</w:t>
            </w:r>
          </w:p>
        </w:tc>
        <w:tc>
          <w:tcPr>
            <w:tcW w:w="161"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right"/>
              <w:rPr/>
            </w:pPr>
            <w:r>
              <w:rPr/>
              <w:t> </w:t>
            </w:r>
          </w:p>
        </w:tc>
        <w:tc>
          <w:tcPr>
            <w:tcW w:w="4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1,217</w:t>
            </w:r>
          </w:p>
        </w:tc>
        <w:tc>
          <w:tcPr>
            <w:tcW w:w="183" w:type="dxa"/>
            <w:tcBorders/>
            <w:vAlign w:val="center"/>
          </w:tcPr>
          <w:p>
            <w:pPr>
              <w:pStyle w:val="TableContents"/>
              <w:bidi w:val="0"/>
              <w:spacing w:before="0" w:after="0"/>
              <w:ind w:left="0" w:right="0" w:hanging="0"/>
              <w:jc w:val="left"/>
              <w:rPr/>
            </w:pPr>
            <w:r>
              <w:rPr/>
              <w:t> </w:t>
            </w:r>
          </w:p>
        </w:tc>
        <w:tc>
          <w:tcPr>
            <w:tcW w:w="161" w:type="dxa"/>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5,287</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_page">
        <w:r>
          <w:rPr>
            <w:rStyle w:val="InternetLink"/>
            <w:rFonts w:ascii="Times New Roman;serif" w:hAnsi="Times New Roman;serif"/>
            <w:b w:val="false"/>
            <w:sz w:val="18"/>
            <w:u w:val="single"/>
          </w:rPr>
          <w:t>Table of Contents</w:t>
        </w:r>
      </w:hyperlink>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NOTE 5. COMMITMENTS AND CONTINGENT LIABILITIES</w:t>
      </w:r>
    </w:p>
    <w:p>
      <w:pPr>
        <w:pStyle w:val="TextBody"/>
        <w:bidi w:val="0"/>
        <w:spacing w:before="300" w:after="0"/>
        <w:jc w:val="left"/>
        <w:rPr>
          <w:rFonts w:ascii="Times New Roman;serif" w:hAnsi="Times New Roman;serif"/>
          <w:b w:val="false"/>
          <w:i/>
          <w:sz w:val="20"/>
        </w:rPr>
      </w:pPr>
      <w:r>
        <w:rPr>
          <w:rFonts w:ascii="Times New Roman;serif" w:hAnsi="Times New Roman;serif"/>
          <w:b w:val="false"/>
          <w:i/>
          <w:sz w:val="20"/>
        </w:rPr>
        <w:t>Litigation</w:t>
      </w:r>
    </w:p>
    <w:p>
      <w:pPr>
        <w:pStyle w:val="TextBody"/>
        <w:bidi w:val="0"/>
        <w:spacing w:before="180" w:after="0"/>
        <w:jc w:val="both"/>
        <w:rPr>
          <w:rFonts w:ascii="Times New Roman" w:hAnsi="Times New Roman"/>
          <w:sz w:val="20"/>
        </w:rPr>
      </w:pPr>
      <w:r>
        <w:rPr>
          <w:rFonts w:ascii="Times New Roman;serif" w:hAnsi="Times New Roman;serif"/>
          <w:b w:val="false"/>
          <w:sz w:val="20"/>
        </w:rPr>
        <w:t xml:space="preserve">In January 2022, the Company and certain of its current and former officers and directors were named as defendants in securities class action complaints filed in the United States District Court for the Southern District of New York under the case headings: (1) Baron v. Talkspace et al., No. 22-cv-00163 (S.D.N.Y.) and (2) Valdez v. Talkspace et al., No. 22-cv-00840 (S.D.N.Y.), which were subsequently consolidated under the caption </w:t>
      </w:r>
      <w:r>
        <w:rPr>
          <w:rFonts w:ascii="Times New Roman;serif" w:hAnsi="Times New Roman;serif"/>
          <w:b w:val="false"/>
          <w:i/>
          <w:sz w:val="20"/>
        </w:rPr>
        <w:t>In re Talkspace, Inc. Securities Litigation</w:t>
      </w:r>
      <w:r>
        <w:rPr>
          <w:rFonts w:ascii="Times New Roman;serif" w:hAnsi="Times New Roman;serif"/>
          <w:b w:val="false"/>
          <w:sz w:val="20"/>
        </w:rPr>
        <w:t>, No. 22-cv-00163 (S.D.N.Y) (the “Securities Action”). The Securities Action asserts violations of sections 10(b), 14(a) and 20(a) of the Securities Exchange Act of 1934 and SEC Rules 10b-5 and 14a-9 promulgated thereunder. These actions generally relate to public disclosures and statements by the Company in connection with its merger with Hudson Executive Investment Corp. (“HEIC”).</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 xml:space="preserve">In December 2022, the Company’s subsidiary Tailwind Merger Sub II, LLC, certain of the Company’s current and former directors and officers, and others were named as defendants in a putative class action complaint filed in the Delaware Court of Chancery under the case caption </w:t>
      </w:r>
      <w:r>
        <w:rPr>
          <w:rFonts w:ascii="Times New Roman;serif" w:hAnsi="Times New Roman;serif"/>
          <w:b w:val="false"/>
          <w:i/>
          <w:sz w:val="20"/>
        </w:rPr>
        <w:t>Valdez v. Braunstein, et al.,</w:t>
      </w:r>
      <w:r>
        <w:rPr>
          <w:rFonts w:ascii="Times New Roman" w:hAnsi="Times New Roman"/>
          <w:sz w:val="20"/>
        </w:rPr>
        <w:t xml:space="preserve"> </w:t>
      </w:r>
      <w:r>
        <w:rPr>
          <w:rFonts w:ascii="Times New Roman;serif" w:hAnsi="Times New Roman;serif"/>
          <w:b w:val="false"/>
          <w:sz w:val="20"/>
        </w:rPr>
        <w:t>C.A. No. 2022-1148 (Del. Ch.) (the “Delaware Action”). The Delaware Action asserts claims for breach of fiduciary duty and aiding and abetting breach of fiduciary duty relating to the merger with HEIC, among other things, based on many of the same facts at issue in the Securities Action. The complaint seeks, among other things damages on behalf of putative class members who did not redeem their shares in connection with the Company’s merger with HEIC.</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 February 2023, the Company resolved the Securities Action and the Delaware Action through mediation. The settlement resolves these litigations with respect to all named defendants. The settlement will have to be approved by the court, which the Company expects will occur in the third quarter of 2023.</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 xml:space="preserve">In June and July 2022, two individuals filed stockholder derivative lawsuits on behalf of Talkspace in the United States District Court for the Southern District of New York under the case captions: (1) </w:t>
      </w:r>
      <w:r>
        <w:rPr>
          <w:rFonts w:ascii="Times New Roman;serif" w:hAnsi="Times New Roman;serif"/>
          <w:b w:val="false"/>
          <w:i/>
          <w:sz w:val="20"/>
        </w:rPr>
        <w:t>Odsvall v. Oren Frank et al.,</w:t>
      </w:r>
      <w:r>
        <w:rPr>
          <w:rFonts w:ascii="Times New Roman" w:hAnsi="Times New Roman"/>
          <w:sz w:val="20"/>
        </w:rPr>
        <w:t xml:space="preserve"> </w:t>
      </w:r>
      <w:r>
        <w:rPr>
          <w:rFonts w:ascii="Times New Roman;serif" w:hAnsi="Times New Roman;serif"/>
          <w:b w:val="false"/>
          <w:sz w:val="20"/>
        </w:rPr>
        <w:t xml:space="preserve">No. 22-cv-05016 (S.D.N.Y.) and (2) </w:t>
      </w:r>
      <w:r>
        <w:rPr>
          <w:rFonts w:ascii="Times New Roman;serif" w:hAnsi="Times New Roman;serif"/>
          <w:b w:val="false"/>
          <w:i/>
          <w:sz w:val="20"/>
        </w:rPr>
        <w:t>Nayman v. Berg, et al.,</w:t>
      </w:r>
      <w:r>
        <w:rPr>
          <w:rFonts w:ascii="Times New Roman" w:hAnsi="Times New Roman"/>
          <w:sz w:val="20"/>
        </w:rPr>
        <w:t xml:space="preserve"> </w:t>
      </w:r>
      <w:r>
        <w:rPr>
          <w:rFonts w:ascii="Times New Roman;serif" w:hAnsi="Times New Roman;serif"/>
          <w:b w:val="false"/>
          <w:sz w:val="20"/>
        </w:rPr>
        <w:t xml:space="preserve">No. 22-cv-06258 (S.D.N.Y.), which were subsequently consolidated under the caption </w:t>
      </w:r>
      <w:r>
        <w:rPr>
          <w:rFonts w:ascii="Times New Roman;serif" w:hAnsi="Times New Roman;serif"/>
          <w:b w:val="false"/>
          <w:i/>
          <w:sz w:val="20"/>
        </w:rPr>
        <w:t>In re Talkspace Stockholder Derivative Litigation</w:t>
      </w:r>
      <w:r>
        <w:rPr>
          <w:rFonts w:ascii="Times New Roman;serif" w:hAnsi="Times New Roman;serif"/>
          <w:b w:val="false"/>
          <w:sz w:val="20"/>
        </w:rPr>
        <w:t>, No. 22-cv-05016 (S.D.N.Y.) in September 2022 (the “Derivative Action”). The Derivative Action named certain of the Company’s current and former officers and directors as defendants and the Company as a nominal defendant. The Derivative Action asserted claims for violations of federal securities laws, breach of fiduciary duty, and aiding and abetting breaches of fiduciary duty relating to the merger with HEIC, among other things, based on many of the same facts at issue in the Securities Action.</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In February 2023 the parties reached an agreement in principle to resolve the Derivative Action with respect to all named defendants in exchange for certain changes to the Company’s Corporate Governance environment, including the declassification of the Company’s board of directors, creation of a management-level disclosure committee, enhancements to the responsibilities and duties of the Company’s Audit Committee, the addition of independent directors, enhancements to employee compliance training and retention of an internal controls consultant. In addition, the Company agreed to pay or cause to be paid $550,000</w:t>
      </w:r>
      <w:r>
        <w:rPr>
          <w:rFonts w:ascii="Times New Roman" w:hAnsi="Times New Roman"/>
          <w:sz w:val="20"/>
        </w:rPr>
        <w:t xml:space="preserve"> </w:t>
      </w:r>
      <w:r>
        <w:rPr>
          <w:rFonts w:ascii="Times New Roman;serif" w:hAnsi="Times New Roman;serif"/>
          <w:b w:val="false"/>
          <w:sz w:val="20"/>
        </w:rPr>
        <w:t>in attorney’s fees and expenses. On May 18, 2023, the parties entered into a Stipulation of Settlement and Release Agreement (the “Stipulation”) that sets forth the terms and conditions for the proposed settlement and dismissal with prejudice of the Derivative Action (the “Settlement”). On June 30, 2023, the court entered an order preliminarily approving the Stipulation and proposed Settlement of the Derivative Action and scheduling a hearing for August 16, 2023 to determine whether to give final approval to the Settlement. The defendants have not admitted any liability or wrongdoing in connection with the Settlement and have entered into the Settlement solely to avoid the costs, risks, distraction, and uncertainties of continued litigation of the Derivative Action.</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 addition to the foregoing, the Company may in the future be involved in various legal proceedings, claims and litigation that arise in the normal course of business. The Company accrues for estimated loss contingencies related to legal matters when available information indicates that it is probable a liability had been incurred and the Company can reasonably estimate the amount of that loss. In many proceedings, however, it is inherently difficult to determine whether any loss is probable or even possible or to estimate the amount of any loss. In addition, even where a loss is possible or an exposure to loss exists in excess of the liability already accrued with respect to a previously recognized loss contingency, it is often not possible to reasonably estimate the size of the possible loss or range of loss or possible additional losses or range of additional losses.</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_page">
        <w:r>
          <w:rPr>
            <w:rStyle w:val="InternetLink"/>
            <w:rFonts w:ascii="Times New Roman;serif" w:hAnsi="Times New Roman;serif"/>
            <w:b w:val="false"/>
            <w:sz w:val="18"/>
            <w:u w:val="single"/>
          </w:rPr>
          <w:t>Table of Contents</w:t>
        </w:r>
      </w:hyperlink>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Warranties and Indemnification</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Company’s arrangements generally include certain provisions for indemnifying clients against liabilities if there is a breach of a client’s data or if the Company’s service infringes a third party’s intellectual property rights. To date, the Company has not incurred any material costs as a result of such indemnifications.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Company has also agreed to indemnify its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a director or officer or that person’s services provided to any other company or enterprise at the Company’s request. The Company maintains director and officer liability insurance coverage that would generally enable it to recover a portion of any future amounts paid. The Company may also be subject to indemnification obligations by law with respect to the actions of its employees under certain circumstances and in certain jurisdictions.</w:t>
      </w:r>
    </w:p>
    <w:p>
      <w:pPr>
        <w:pStyle w:val="TextBody"/>
        <w:bidi w:val="0"/>
        <w:spacing w:before="360" w:after="0"/>
        <w:jc w:val="left"/>
        <w:rPr>
          <w:rFonts w:ascii="Times New Roman;serif" w:hAnsi="Times New Roman;serif"/>
          <w:b/>
          <w:sz w:val="20"/>
        </w:rPr>
      </w:pPr>
      <w:r>
        <w:rPr>
          <w:rFonts w:ascii="Times New Roman;serif" w:hAnsi="Times New Roman;serif"/>
          <w:b/>
          <w:sz w:val="20"/>
        </w:rPr>
        <w:t>NOTE 6. CAPITAL STOCK</w:t>
      </w:r>
    </w:p>
    <w:p>
      <w:pPr>
        <w:pStyle w:val="TextBody"/>
        <w:bidi w:val="0"/>
        <w:spacing w:before="0" w:after="0"/>
        <w:jc w:val="both"/>
        <w:rPr/>
      </w:pPr>
      <w:r>
        <w:rPr/>
        <w:t> </w:t>
      </w:r>
    </w:p>
    <w:p>
      <w:pPr>
        <w:pStyle w:val="TextBody"/>
        <w:bidi w:val="0"/>
        <w:spacing w:before="0" w:after="60"/>
        <w:jc w:val="both"/>
        <w:rPr>
          <w:rFonts w:ascii="Times New Roman" w:hAnsi="Times New Roman"/>
          <w:sz w:val="20"/>
        </w:rPr>
      </w:pPr>
      <w:r>
        <w:rPr>
          <w:rFonts w:ascii="Times New Roman;serif" w:hAnsi="Times New Roman;serif"/>
          <w:b w:val="false"/>
          <w:sz w:val="20"/>
        </w:rPr>
        <w:t>As of June 30, 2023 and December 31, 2022 there were outstanding 12,780,000</w:t>
      </w:r>
      <w:r>
        <w:rPr>
          <w:rFonts w:ascii="Times New Roman" w:hAnsi="Times New Roman"/>
          <w:sz w:val="20"/>
        </w:rPr>
        <w:t xml:space="preserve"> </w:t>
      </w:r>
      <w:r>
        <w:rPr>
          <w:rFonts w:ascii="Times New Roman;serif" w:hAnsi="Times New Roman;serif"/>
          <w:b w:val="false"/>
          <w:sz w:val="20"/>
        </w:rPr>
        <w:t>Private Placement Warrants and 21,350,000</w:t>
      </w:r>
      <w:r>
        <w:rPr>
          <w:rFonts w:ascii="Times New Roman" w:hAnsi="Times New Roman"/>
          <w:sz w:val="20"/>
        </w:rPr>
        <w:t xml:space="preserve"> </w:t>
      </w:r>
      <w:r>
        <w:rPr>
          <w:rFonts w:ascii="Times New Roman;serif" w:hAnsi="Times New Roman;serif"/>
          <w:b w:val="false"/>
          <w:sz w:val="20"/>
        </w:rPr>
        <w:t>Public Warrants to purchase the Company’s common stock at an exercise price of $11.50</w:t>
      </w:r>
      <w:r>
        <w:rPr>
          <w:rFonts w:ascii="Times New Roman" w:hAnsi="Times New Roman"/>
          <w:sz w:val="20"/>
        </w:rPr>
        <w:t xml:space="preserve"> </w:t>
      </w:r>
      <w:r>
        <w:rPr>
          <w:rFonts w:ascii="Times New Roman;serif" w:hAnsi="Times New Roman;serif"/>
          <w:b w:val="false"/>
          <w:sz w:val="20"/>
        </w:rPr>
        <w:t>per share. As of June 30, 2023 and December 31, 2022, no</w:t>
      </w:r>
      <w:r>
        <w:rPr>
          <w:rFonts w:ascii="Times New Roman" w:hAnsi="Times New Roman"/>
          <w:sz w:val="20"/>
        </w:rPr>
        <w:t xml:space="preserve"> </w:t>
      </w:r>
      <w:r>
        <w:rPr>
          <w:rFonts w:ascii="Times New Roman;serif" w:hAnsi="Times New Roman;serif"/>
          <w:b w:val="false"/>
          <w:sz w:val="20"/>
        </w:rPr>
        <w:t>shares of preferred stock were issued or outstanding.</w:t>
      </w:r>
    </w:p>
    <w:p>
      <w:pPr>
        <w:pStyle w:val="TextBody"/>
        <w:bidi w:val="0"/>
        <w:spacing w:before="360" w:after="0"/>
        <w:jc w:val="both"/>
        <w:rPr>
          <w:rFonts w:ascii="Times New Roman;serif" w:hAnsi="Times New Roman;serif"/>
          <w:b/>
          <w:sz w:val="20"/>
        </w:rPr>
      </w:pPr>
      <w:r>
        <w:rPr>
          <w:rFonts w:ascii="Times New Roman;serif" w:hAnsi="Times New Roman;serif"/>
          <w:b/>
          <w:sz w:val="20"/>
        </w:rPr>
        <w:t>NOTE 7. SHARE-BASED COMPENSATION</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June 2021, the Company adopted the 2021 Incentive Award Plan (the “2021 Plan”) under which the Company may grant cash and equity incentive awards to officers, employees, directors, consultants and service providers in order to attract, motivate and retain the talent.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June 2021, the Company also adopted the 2021 Employee Stock Purchase Plan (the “2021 ESPP”) under which employees of the Company and its participating subsidiaries are provided with the opportunity to purchase Talkspace common stock at a discount through accumulated payroll deductions during successive offering periods. As of June 30, 2023, no employee stock purchases have been made under the 2021 ESPP.</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All stock-based awards are measured based on the grant date fair value and are generally recognized on a straight-line basis in the Company’s condensed consolidated statement of operations over the period during which the employee is required to perform services in exchange for the award (generally requiring a four-year vesting period).</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following table sets forth the total stock-based compensation expense related to stock options and restricted stock units included in the respective components of operating expenses in the condensed consolidated statements of operations:</w:t>
      </w:r>
    </w:p>
    <w:p>
      <w:pPr>
        <w:pStyle w:val="TextBody"/>
        <w:bidi w:val="0"/>
        <w:spacing w:before="0" w:after="0"/>
        <w:jc w:val="left"/>
        <w:rPr/>
      </w:pPr>
      <w:r>
        <w:rPr/>
        <w:t> </w:t>
      </w:r>
    </w:p>
    <w:tbl>
      <w:tblPr>
        <w:tblW w:w="8412" w:type="dxa"/>
        <w:jc w:val="left"/>
        <w:tblInd w:w="0" w:type="dxa"/>
        <w:tblLayout w:type="fixed"/>
        <w:tblCellMar>
          <w:top w:w="28" w:type="dxa"/>
          <w:left w:w="28" w:type="dxa"/>
          <w:bottom w:w="28" w:type="dxa"/>
          <w:right w:w="28" w:type="dxa"/>
        </w:tblCellMar>
      </w:tblPr>
      <w:tblGrid>
        <w:gridCol w:w="3451"/>
        <w:gridCol w:w="146"/>
        <w:gridCol w:w="257"/>
        <w:gridCol w:w="697"/>
        <w:gridCol w:w="178"/>
        <w:gridCol w:w="178"/>
        <w:gridCol w:w="257"/>
        <w:gridCol w:w="697"/>
        <w:gridCol w:w="146"/>
        <w:gridCol w:w="146"/>
        <w:gridCol w:w="235"/>
        <w:gridCol w:w="637"/>
        <w:gridCol w:w="162"/>
        <w:gridCol w:w="162"/>
        <w:gridCol w:w="235"/>
        <w:gridCol w:w="637"/>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Unaudited</w:t>
            </w:r>
          </w:p>
        </w:tc>
        <w:tc>
          <w:tcPr>
            <w:tcW w:w="146" w:type="dxa"/>
            <w:tcBorders/>
            <w:vAlign w:val="center"/>
          </w:tcPr>
          <w:p>
            <w:pPr>
              <w:pStyle w:val="TableContents"/>
              <w:bidi w:val="0"/>
              <w:spacing w:before="0" w:after="0"/>
              <w:ind w:left="0" w:right="0" w:hanging="0"/>
              <w:jc w:val="left"/>
              <w:rPr/>
            </w:pPr>
            <w:r>
              <w:rPr/>
              <w:t> </w:t>
            </w:r>
          </w:p>
        </w:tc>
        <w:tc>
          <w:tcPr>
            <w:tcW w:w="9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8" w:type="dxa"/>
            <w:tcBorders/>
            <w:vAlign w:val="center"/>
          </w:tcPr>
          <w:p>
            <w:pPr>
              <w:pStyle w:val="TableContents"/>
              <w:bidi w:val="0"/>
              <w:spacing w:before="0" w:after="0"/>
              <w:ind w:left="0" w:right="0" w:hanging="0"/>
              <w:jc w:val="left"/>
              <w:rPr/>
            </w:pPr>
            <w:r>
              <w:rPr/>
              <w:t> </w:t>
            </w:r>
          </w:p>
        </w:tc>
        <w:tc>
          <w:tcPr>
            <w:tcW w:w="9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2" w:type="dxa"/>
            <w:tcBorders/>
            <w:vAlign w:val="center"/>
          </w:tcPr>
          <w:p>
            <w:pPr>
              <w:pStyle w:val="TableContents"/>
              <w:bidi w:val="0"/>
              <w:spacing w:before="0" w:after="0"/>
              <w:ind w:left="0" w:right="0" w:hanging="0"/>
              <w:jc w:val="left"/>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w:t>
            </w:r>
          </w:p>
        </w:tc>
        <w:tc>
          <w:tcPr>
            <w:tcW w:w="146" w:type="dxa"/>
            <w:tcBorders/>
            <w:vAlign w:val="center"/>
          </w:tcPr>
          <w:p>
            <w:pPr>
              <w:pStyle w:val="TableContents"/>
              <w:bidi w:val="0"/>
              <w:spacing w:before="0" w:after="0"/>
              <w:ind w:left="0" w:right="0" w:hanging="0"/>
              <w:jc w:val="left"/>
              <w:rPr/>
            </w:pPr>
            <w:r>
              <w:rPr/>
              <w:t> </w:t>
            </w:r>
          </w:p>
        </w:tc>
        <w:tc>
          <w:tcPr>
            <w:tcW w:w="954" w:type="dxa"/>
            <w:gridSpan w:val="2"/>
            <w:tcBorders/>
            <w:vAlign w:val="center"/>
          </w:tcPr>
          <w:p>
            <w:pPr>
              <w:pStyle w:val="TableContents"/>
              <w:bidi w:val="0"/>
              <w:spacing w:before="0" w:after="0"/>
              <w:ind w:left="0" w:right="0" w:hanging="0"/>
              <w:jc w:val="center"/>
              <w:rPr/>
            </w:pPr>
            <w:r>
              <w:rPr/>
              <w:t> </w:t>
            </w:r>
          </w:p>
        </w:tc>
        <w:tc>
          <w:tcPr>
            <w:tcW w:w="178" w:type="dxa"/>
            <w:tcBorders/>
            <w:vAlign w:val="center"/>
          </w:tcPr>
          <w:p>
            <w:pPr>
              <w:pStyle w:val="TableContents"/>
              <w:bidi w:val="0"/>
              <w:spacing w:before="0" w:after="0"/>
              <w:ind w:left="0" w:right="0" w:hanging="0"/>
              <w:jc w:val="center"/>
              <w:rPr/>
            </w:pPr>
            <w:r>
              <w:rPr/>
              <w:t> </w:t>
            </w:r>
          </w:p>
        </w:tc>
        <w:tc>
          <w:tcPr>
            <w:tcW w:w="178" w:type="dxa"/>
            <w:tcBorders/>
            <w:vAlign w:val="center"/>
          </w:tcPr>
          <w:p>
            <w:pPr>
              <w:pStyle w:val="TableContents"/>
              <w:bidi w:val="0"/>
              <w:spacing w:before="0" w:after="0"/>
              <w:ind w:left="0" w:right="0" w:hanging="0"/>
              <w:jc w:val="left"/>
              <w:rPr/>
            </w:pPr>
            <w:r>
              <w:rPr/>
              <w:t> </w:t>
            </w:r>
          </w:p>
        </w:tc>
        <w:tc>
          <w:tcPr>
            <w:tcW w:w="95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center"/>
              <w:rPr/>
            </w:pPr>
            <w:r>
              <w:rPr/>
              <w:t> </w:t>
            </w:r>
          </w:p>
        </w:tc>
        <w:tc>
          <w:tcPr>
            <w:tcW w:w="162" w:type="dxa"/>
            <w:tcBorders/>
            <w:vAlign w:val="center"/>
          </w:tcPr>
          <w:p>
            <w:pPr>
              <w:pStyle w:val="TableContents"/>
              <w:bidi w:val="0"/>
              <w:spacing w:before="0" w:after="0"/>
              <w:ind w:left="0" w:right="0" w:hanging="0"/>
              <w:jc w:val="center"/>
              <w:rPr/>
            </w:pPr>
            <w:r>
              <w:rPr/>
              <w:t> </w:t>
            </w:r>
          </w:p>
        </w:tc>
        <w:tc>
          <w:tcPr>
            <w:tcW w:w="162"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 net</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546</w:t>
            </w:r>
          </w:p>
        </w:tc>
        <w:tc>
          <w:tcPr>
            <w:tcW w:w="178"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1,220</w:t>
            </w:r>
          </w:p>
        </w:tc>
        <w:tc>
          <w:tcPr>
            <w:tcW w:w="162" w:type="dxa"/>
            <w:tcBorders/>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1,208</w:t>
            </w:r>
          </w:p>
        </w:tc>
        <w:tc>
          <w:tcPr>
            <w:tcW w:w="1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Clinical operations, net</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w:t>
            </w:r>
          </w:p>
        </w:tc>
        <w:tc>
          <w:tcPr>
            <w:tcW w:w="178"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right"/>
              <w:rPr/>
            </w:pPr>
            <w:r>
              <w:rPr/>
              <w:t> </w:t>
            </w:r>
          </w:p>
        </w:tc>
        <w:tc>
          <w:tcPr>
            <w:tcW w:w="257"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w:t>
            </w:r>
          </w:p>
        </w:tc>
        <w:tc>
          <w:tcPr>
            <w:tcW w:w="162" w:type="dxa"/>
            <w:tcBorders/>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w:t>
            </w:r>
          </w:p>
        </w:tc>
        <w:tc>
          <w:tcPr>
            <w:tcW w:w="1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445</w:t>
            </w:r>
          </w:p>
        </w:tc>
        <w:tc>
          <w:tcPr>
            <w:tcW w:w="178"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right"/>
              <w:rPr/>
            </w:pPr>
            <w:r>
              <w:rPr/>
              <w:t> </w:t>
            </w:r>
          </w:p>
        </w:tc>
        <w:tc>
          <w:tcPr>
            <w:tcW w:w="257"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836</w:t>
            </w:r>
          </w:p>
        </w:tc>
        <w:tc>
          <w:tcPr>
            <w:tcW w:w="162" w:type="dxa"/>
            <w:tcBorders/>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1,593</w:t>
            </w:r>
          </w:p>
        </w:tc>
        <w:tc>
          <w:tcPr>
            <w:tcW w:w="1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1,012</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righ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2,130</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3,205</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stock-based compensation expense</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2,129</w:t>
            </w:r>
          </w:p>
        </w:tc>
        <w:tc>
          <w:tcPr>
            <w:tcW w:w="1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3,839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4,432</w:t>
            </w:r>
          </w:p>
        </w:tc>
        <w:tc>
          <w:tcPr>
            <w:tcW w:w="1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6,207</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_page">
        <w:r>
          <w:rPr>
            <w:rStyle w:val="InternetLink"/>
            <w:rFonts w:ascii="Times New Roman;serif" w:hAnsi="Times New Roman;serif"/>
            <w:b w:val="false"/>
            <w:sz w:val="18"/>
            <w:u w:val="single"/>
          </w:rPr>
          <w:t>Table of Contents</w:t>
        </w:r>
      </w:hyperlink>
    </w:p>
    <w:p>
      <w:pPr>
        <w:pStyle w:val="TextBody"/>
        <w:bidi w:val="0"/>
        <w:spacing w:before="300" w:after="0"/>
        <w:jc w:val="both"/>
        <w:rPr>
          <w:rFonts w:ascii="Times New Roman" w:hAnsi="Times New Roman"/>
          <w:sz w:val="20"/>
        </w:rPr>
      </w:pPr>
      <w:r>
        <w:rPr>
          <w:rFonts w:ascii="Times New Roman;serif" w:hAnsi="Times New Roman;serif"/>
          <w:b/>
          <w:sz w:val="20"/>
        </w:rPr>
        <w:t>NOTE 8. NET LOSS PER SHARE</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following table sets forth the computation of basic and diluted net loss per share attributable to common stockholders for the periods presented:</w:t>
      </w:r>
    </w:p>
    <w:tbl>
      <w:tblPr>
        <w:tblW w:w="10205" w:type="dxa"/>
        <w:jc w:val="left"/>
        <w:tblInd w:w="0" w:type="dxa"/>
        <w:tblLayout w:type="fixed"/>
        <w:tblCellMar>
          <w:top w:w="28" w:type="dxa"/>
          <w:left w:w="28" w:type="dxa"/>
          <w:bottom w:w="28" w:type="dxa"/>
          <w:right w:w="28" w:type="dxa"/>
        </w:tblCellMar>
      </w:tblPr>
      <w:tblGrid>
        <w:gridCol w:w="3504"/>
        <w:gridCol w:w="146"/>
        <w:gridCol w:w="211"/>
        <w:gridCol w:w="1141"/>
        <w:gridCol w:w="166"/>
        <w:gridCol w:w="146"/>
        <w:gridCol w:w="211"/>
        <w:gridCol w:w="1141"/>
        <w:gridCol w:w="166"/>
        <w:gridCol w:w="146"/>
        <w:gridCol w:w="211"/>
        <w:gridCol w:w="1141"/>
        <w:gridCol w:w="166"/>
        <w:gridCol w:w="146"/>
        <w:gridCol w:w="211"/>
        <w:gridCol w:w="1141"/>
        <w:gridCol w:w="211"/>
      </w:tblGrid>
      <w:tr>
        <w:trPr/>
        <w:tc>
          <w:tcPr>
            <w:tcW w:w="3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0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0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04"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Unaudited</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04"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except share and per share data)</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5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5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52"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35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(4,704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(23,022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(13,462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(43,382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shares used to compute net loss per share:</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3504"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164,195,697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155,709,901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163,003,363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154,901,165</w:t>
            </w:r>
          </w:p>
        </w:tc>
        <w:tc>
          <w:tcPr>
            <w:tcW w:w="211" w:type="dxa"/>
            <w:tcBorders/>
            <w:vAlign w:val="center"/>
          </w:tcPr>
          <w:p>
            <w:pPr>
              <w:pStyle w:val="TableContents"/>
              <w:bidi w:val="0"/>
              <w:spacing w:before="0" w:after="0"/>
              <w:ind w:left="0" w:right="0" w:hanging="0"/>
              <w:jc w:val="left"/>
              <w:rPr/>
            </w:pPr>
            <w:r>
              <w:rPr/>
              <w:t> </w:t>
            </w:r>
          </w:p>
        </w:tc>
      </w:tr>
      <w:tr>
        <w:trPr/>
        <w:tc>
          <w:tcPr>
            <w:tcW w:w="35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3504"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40" w:after="0"/>
        <w:jc w:val="both"/>
        <w:rPr>
          <w:rFonts w:ascii="Times New Roman" w:hAnsi="Times New Roman"/>
          <w:sz w:val="20"/>
        </w:rPr>
      </w:pPr>
      <w:r>
        <w:rPr>
          <w:rFonts w:ascii="Times New Roman;serif" w:hAnsi="Times New Roman;serif"/>
          <w:b w:val="false"/>
          <w:sz w:val="20"/>
        </w:rPr>
        <w:t>For the three and six months ended June 30, 2023, the following were excluded from the calculation of diluted net loss per share since each would have had an anti-dilutive effect given the Company's net loss: 12,365,441</w:t>
      </w:r>
      <w:r>
        <w:rPr>
          <w:rFonts w:ascii="Times New Roman" w:hAnsi="Times New Roman"/>
          <w:sz w:val="20"/>
        </w:rPr>
        <w:t xml:space="preserve"> </w:t>
      </w:r>
      <w:r>
        <w:rPr>
          <w:rFonts w:ascii="Times New Roman;serif" w:hAnsi="Times New Roman;serif"/>
          <w:b w:val="false"/>
          <w:sz w:val="20"/>
        </w:rPr>
        <w:t>non-vested stock options, 10,179,411</w:t>
      </w:r>
      <w:r>
        <w:rPr>
          <w:rFonts w:ascii="Times New Roman" w:hAnsi="Times New Roman"/>
          <w:sz w:val="20"/>
        </w:rPr>
        <w:t xml:space="preserve"> </w:t>
      </w:r>
      <w:r>
        <w:rPr>
          <w:rFonts w:ascii="Times New Roman;serif" w:hAnsi="Times New Roman;serif"/>
          <w:b w:val="false"/>
          <w:sz w:val="20"/>
        </w:rPr>
        <w:t>non-vested restricted stock units, 12,780,000</w:t>
      </w:r>
      <w:r>
        <w:rPr>
          <w:rFonts w:ascii="Times New Roman" w:hAnsi="Times New Roman"/>
          <w:sz w:val="20"/>
        </w:rPr>
        <w:t xml:space="preserve"> </w:t>
      </w:r>
      <w:r>
        <w:rPr>
          <w:rFonts w:ascii="Times New Roman;serif" w:hAnsi="Times New Roman;serif"/>
          <w:b w:val="false"/>
          <w:sz w:val="20"/>
        </w:rPr>
        <w:t>Private Placement Warrants and 21,350,000</w:t>
      </w:r>
      <w:r>
        <w:rPr>
          <w:rFonts w:ascii="Times New Roman" w:hAnsi="Times New Roman"/>
          <w:sz w:val="20"/>
        </w:rPr>
        <w:t xml:space="preserve"> </w:t>
      </w:r>
      <w:r>
        <w:rPr>
          <w:rFonts w:ascii="Times New Roman;serif" w:hAnsi="Times New Roman;serif"/>
          <w:b w:val="false"/>
          <w:sz w:val="20"/>
        </w:rPr>
        <w:t>Public Warrants to purchase the Company’s common stock.</w:t>
      </w:r>
    </w:p>
    <w:p>
      <w:pPr>
        <w:pStyle w:val="TextBody"/>
        <w:bidi w:val="0"/>
        <w:spacing w:before="240" w:after="240"/>
        <w:jc w:val="both"/>
        <w:rPr>
          <w:rFonts w:ascii="Times New Roman" w:hAnsi="Times New Roman"/>
          <w:sz w:val="20"/>
        </w:rPr>
      </w:pPr>
      <w:r>
        <w:rPr>
          <w:rFonts w:ascii="Times New Roman;serif" w:hAnsi="Times New Roman;serif"/>
          <w:b w:val="false"/>
          <w:sz w:val="20"/>
        </w:rPr>
        <w:t>For the three and six months ended June 30, 2022, the following were excluded from the calculation of diluted income per share since each would have had an anti-dilutive effect given the Company's net loss: 18,042,701 non-vested stock options, 6,360,148 non-vested restricted stock units,</w:t>
      </w:r>
      <w:r>
        <w:rPr>
          <w:rFonts w:ascii="Times New Roman" w:hAnsi="Times New Roman"/>
          <w:sz w:val="20"/>
        </w:rPr>
        <w:t xml:space="preserve"> </w:t>
      </w:r>
      <w:r>
        <w:rPr>
          <w:rFonts w:ascii="Times New Roman;serif" w:hAnsi="Times New Roman;serif"/>
          <w:b w:val="false"/>
          <w:sz w:val="20"/>
        </w:rPr>
        <w:t>12,780,000</w:t>
      </w:r>
      <w:r>
        <w:rPr>
          <w:rFonts w:ascii="Times New Roman" w:hAnsi="Times New Roman"/>
          <w:sz w:val="20"/>
        </w:rPr>
        <w:t xml:space="preserve"> </w:t>
      </w:r>
      <w:r>
        <w:rPr>
          <w:rFonts w:ascii="Times New Roman;serif" w:hAnsi="Times New Roman;serif"/>
          <w:b w:val="false"/>
          <w:sz w:val="20"/>
        </w:rPr>
        <w:t>Private Placement Warrants and 21,350,000</w:t>
      </w:r>
      <w:r>
        <w:rPr>
          <w:rFonts w:ascii="Times New Roman" w:hAnsi="Times New Roman"/>
          <w:sz w:val="20"/>
        </w:rPr>
        <w:t xml:space="preserve"> </w:t>
      </w:r>
      <w:r>
        <w:rPr>
          <w:rFonts w:ascii="Times New Roman;serif" w:hAnsi="Times New Roman;serif"/>
          <w:b w:val="false"/>
          <w:sz w:val="20"/>
        </w:rPr>
        <w:t>Public Warrants to purchase the Company’s common stock.</w:t>
      </w:r>
    </w:p>
    <w:p>
      <w:pPr>
        <w:pStyle w:val="TextBody"/>
        <w:bidi w:val="0"/>
        <w:spacing w:before="300" w:after="0"/>
        <w:jc w:val="both"/>
        <w:rPr>
          <w:rFonts w:ascii="Times New Roman;serif" w:hAnsi="Times New Roman;serif"/>
          <w:b/>
          <w:sz w:val="20"/>
        </w:rPr>
      </w:pPr>
      <w:r>
        <w:rPr>
          <w:rFonts w:ascii="Times New Roman;serif" w:hAnsi="Times New Roman;serif"/>
          <w:b/>
          <w:sz w:val="20"/>
        </w:rPr>
        <w:t>NOTE 9. ACCRUED EXPENSES AND OTHER CURRENT LIABILITIES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following table presents the amounts included within accrued expenses and other current liabilities as of June 30, 2023 and December 31, 2022:</w:t>
      </w:r>
    </w:p>
    <w:tbl>
      <w:tblPr>
        <w:tblW w:w="7080" w:type="dxa"/>
        <w:jc w:val="left"/>
        <w:tblInd w:w="0" w:type="dxa"/>
        <w:tblLayout w:type="fixed"/>
        <w:tblCellMar>
          <w:top w:w="28" w:type="dxa"/>
          <w:left w:w="28" w:type="dxa"/>
          <w:bottom w:w="28" w:type="dxa"/>
          <w:right w:w="28" w:type="dxa"/>
        </w:tblCellMar>
      </w:tblPr>
      <w:tblGrid>
        <w:gridCol w:w="3826"/>
        <w:gridCol w:w="146"/>
        <w:gridCol w:w="267"/>
        <w:gridCol w:w="858"/>
        <w:gridCol w:w="146"/>
        <w:gridCol w:w="146"/>
        <w:gridCol w:w="357"/>
        <w:gridCol w:w="1143"/>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w:t>
            </w:r>
          </w:p>
        </w:tc>
        <w:tc>
          <w:tcPr>
            <w:tcW w:w="146" w:type="dxa"/>
            <w:tcBorders/>
            <w:vAlign w:val="center"/>
          </w:tcPr>
          <w:p>
            <w:pPr>
              <w:pStyle w:val="TableContents"/>
              <w:bidi w:val="0"/>
              <w:spacing w:before="0" w:after="0"/>
              <w:ind w:left="0" w:right="0" w:hanging="0"/>
              <w:jc w:val="center"/>
              <w:rPr/>
            </w:pPr>
            <w:r>
              <w:rPr/>
              <w:t> </w:t>
            </w:r>
          </w:p>
        </w:tc>
        <w:tc>
          <w:tcPr>
            <w:tcW w:w="1125" w:type="dxa"/>
            <w:gridSpan w:val="2"/>
            <w:tcBorders/>
            <w:vAlign w:val="center"/>
          </w:tcPr>
          <w:p>
            <w:pPr>
              <w:pStyle w:val="TableContents"/>
              <w:bidi w:val="0"/>
              <w:spacing w:before="0" w:after="0"/>
              <w:ind w:left="0" w:right="0" w:hanging="0"/>
              <w:jc w:val="center"/>
              <w:rPr>
                <w:rFonts w:ascii="Times New Roman;serif" w:hAnsi="Times New Roman;serif"/>
                <w:b w:val="false"/>
                <w:i/>
                <w:sz w:val="16"/>
              </w:rPr>
            </w:pPr>
            <w:r>
              <w:rPr>
                <w:rFonts w:ascii="Times New Roman;serif" w:hAnsi="Times New Roman;serif"/>
                <w:b w:val="false"/>
                <w:i/>
                <w:sz w:val="16"/>
              </w:rPr>
              <w:t>Unaudited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00" w:type="dxa"/>
            <w:gridSpan w:val="2"/>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Employee compensation</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5,290</w:t>
            </w:r>
          </w:p>
        </w:tc>
        <w:tc>
          <w:tcPr>
            <w:tcW w:w="191" w:type="dxa"/>
            <w:tcBorders/>
            <w:vAlign w:val="center"/>
          </w:tcPr>
          <w:p>
            <w:pPr>
              <w:pStyle w:val="TableContents"/>
              <w:bidi w:val="0"/>
              <w:spacing w:before="0" w:after="0"/>
              <w:ind w:left="0" w:right="0" w:hanging="0"/>
              <w:jc w:val="left"/>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User acquisition</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2,256</w:t>
            </w:r>
          </w:p>
        </w:tc>
        <w:tc>
          <w:tcPr>
            <w:tcW w:w="191" w:type="dxa"/>
            <w:tcBorders/>
            <w:vAlign w:val="center"/>
          </w:tcPr>
          <w:p>
            <w:pPr>
              <w:pStyle w:val="TableContents"/>
              <w:bidi w:val="0"/>
              <w:spacing w:before="0" w:after="0"/>
              <w:ind w:left="0" w:right="0" w:hanging="0"/>
              <w:jc w:val="left"/>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Litigation costs</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5,500</w:t>
            </w:r>
          </w:p>
        </w:tc>
        <w:tc>
          <w:tcPr>
            <w:tcW w:w="191" w:type="dxa"/>
            <w:tcBorders/>
            <w:vAlign w:val="center"/>
          </w:tcPr>
          <w:p>
            <w:pPr>
              <w:pStyle w:val="TableContents"/>
              <w:bidi w:val="0"/>
              <w:spacing w:before="0" w:after="0"/>
              <w:ind w:left="0" w:right="0" w:hanging="0"/>
              <w:jc w:val="left"/>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Professional fees</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543</w:t>
            </w:r>
          </w:p>
        </w:tc>
        <w:tc>
          <w:tcPr>
            <w:tcW w:w="191" w:type="dxa"/>
            <w:tcBorders/>
            <w:vAlign w:val="center"/>
          </w:tcPr>
          <w:p>
            <w:pPr>
              <w:pStyle w:val="TableContents"/>
              <w:bidi w:val="0"/>
              <w:spacing w:before="0" w:after="0"/>
              <w:ind w:left="0" w:right="0" w:hanging="0"/>
              <w:jc w:val="left"/>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3,384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10,444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16,502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_page">
        <w:r>
          <w:rPr>
            <w:rStyle w:val="InternetLink"/>
            <w:rFonts w:ascii="Times New Roman;serif" w:hAnsi="Times New Roman;serif"/>
            <w:b w:val="false"/>
            <w:sz w:val="18"/>
            <w:u w:val="single"/>
          </w:rPr>
          <w:t>Table of Contents</w:t>
        </w:r>
      </w:hyperlink>
    </w:p>
    <w:p>
      <w:pPr>
        <w:pStyle w:val="TextBody"/>
        <w:bidi w:val="0"/>
        <w:spacing w:before="300" w:after="0"/>
        <w:jc w:val="left"/>
        <w:rPr>
          <w:rFonts w:ascii="Times New Roman;serif" w:hAnsi="Times New Roman;serif"/>
          <w:b/>
          <w:sz w:val="20"/>
        </w:rPr>
      </w:pPr>
      <w:r>
        <w:rPr>
          <w:rFonts w:ascii="Times New Roman;serif" w:hAnsi="Times New Roman;serif"/>
          <w:b/>
          <w:sz w:val="20"/>
        </w:rPr>
        <w:t>NOTE 10. VARIABLE INTEREST ENTITIES ("VIEs")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 Company holds a variable interest in Talkspace Provider Network, PA (“TPN”) and certain affiliated professional entities (“PC entities”). TPN and the PC entities are VIEs. Under the provisions of ASC 810, “Consolidation”, an entity consolidates a VIE if it is determined to be the primary beneficiary of the VIE. The primary beneficiary has both (a) the power to direct the activities of the VIE that most significantly impact the entity’s economic performance, and (b) the obligation to absorb losses or the right to receive benefits from the VIE that could potentially be significant to the VIE.</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Company has determined that it is able to direct the activities of TPN and the PC entities that most significantly impact their economic performance and it funds and absorbs all losses of these VIEs resulting in the Company being the primary beneficiary of these entities. Accordingly, the Company consolidates these VIEs.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following table details the assets and liabilities of the Company's consolidated VIEs as of June 30, 2023 and December 31, 2022. The assets and liabilities in the table below are presented prior to consolidation and thus a portion of these assets and liabilities are eliminated in consolidation.</w:t>
      </w:r>
    </w:p>
    <w:p>
      <w:pPr>
        <w:pStyle w:val="TextBody"/>
        <w:bidi w:val="0"/>
        <w:spacing w:before="0" w:after="0"/>
        <w:jc w:val="both"/>
        <w:rPr/>
      </w:pPr>
      <w:r>
        <w:rPr/>
        <w:t> </w:t>
      </w:r>
    </w:p>
    <w:tbl>
      <w:tblPr>
        <w:tblW w:w="7080" w:type="dxa"/>
        <w:jc w:val="left"/>
        <w:tblInd w:w="0" w:type="dxa"/>
        <w:tblLayout w:type="fixed"/>
        <w:tblCellMar>
          <w:top w:w="28" w:type="dxa"/>
          <w:left w:w="28" w:type="dxa"/>
          <w:bottom w:w="28" w:type="dxa"/>
          <w:right w:w="28" w:type="dxa"/>
        </w:tblCellMar>
      </w:tblPr>
      <w:tblGrid>
        <w:gridCol w:w="3826"/>
        <w:gridCol w:w="146"/>
        <w:gridCol w:w="303"/>
        <w:gridCol w:w="822"/>
        <w:gridCol w:w="146"/>
        <w:gridCol w:w="146"/>
        <w:gridCol w:w="403"/>
        <w:gridCol w:w="1097"/>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w:t>
            </w:r>
          </w:p>
        </w:tc>
        <w:tc>
          <w:tcPr>
            <w:tcW w:w="146" w:type="dxa"/>
            <w:tcBorders/>
            <w:vAlign w:val="center"/>
          </w:tcPr>
          <w:p>
            <w:pPr>
              <w:pStyle w:val="TableContents"/>
              <w:bidi w:val="0"/>
              <w:spacing w:before="0" w:after="0"/>
              <w:ind w:left="0" w:right="0" w:hanging="0"/>
              <w:jc w:val="center"/>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ASSETS</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center"/>
              <w:rPr>
                <w:rFonts w:ascii="Times New Roman;serif" w:hAnsi="Times New Roman;serif"/>
                <w:b w:val="false"/>
                <w:i/>
                <w:sz w:val="16"/>
              </w:rPr>
            </w:pPr>
            <w:r>
              <w:rPr>
                <w:rFonts w:ascii="Times New Roman;serif" w:hAnsi="Times New Roman;serif"/>
                <w:b w:val="false"/>
                <w:i/>
                <w:sz w:val="16"/>
              </w:rPr>
              <w:t>Unaudited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883</w:t>
            </w:r>
          </w:p>
        </w:tc>
        <w:tc>
          <w:tcPr>
            <w:tcW w:w="191" w:type="dxa"/>
            <w:tcBorders/>
            <w:vAlign w:val="center"/>
          </w:tcPr>
          <w:p>
            <w:pPr>
              <w:pStyle w:val="TableContents"/>
              <w:bidi w:val="0"/>
              <w:spacing w:before="0" w:after="0"/>
              <w:ind w:left="0" w:right="0" w:hanging="0"/>
              <w:jc w:val="left"/>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1,716</w:t>
            </w:r>
          </w:p>
        </w:tc>
        <w:tc>
          <w:tcPr>
            <w:tcW w:w="191" w:type="dxa"/>
            <w:tcBorders/>
            <w:vAlign w:val="center"/>
          </w:tcPr>
          <w:p>
            <w:pPr>
              <w:pStyle w:val="TableContents"/>
              <w:bidi w:val="0"/>
              <w:spacing w:before="0" w:after="0"/>
              <w:ind w:left="0" w:right="0" w:hanging="0"/>
              <w:jc w:val="left"/>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4,813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6,656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7,412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LIABILITIES</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3,758</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3,758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_page">
        <w:r>
          <w:rPr>
            <w:rStyle w:val="InternetLink"/>
            <w:rFonts w:ascii="Times New Roman;serif" w:hAnsi="Times New Roman;serif"/>
            <w:b w:val="false"/>
            <w:sz w:val="18"/>
            <w:u w:val="single"/>
          </w:rPr>
          <w:t>Table of Contents</w:t>
        </w:r>
      </w:hyperlink>
    </w:p>
    <w:p>
      <w:pPr>
        <w:pStyle w:val="TextBody"/>
        <w:bidi w:val="0"/>
        <w:spacing w:before="300" w:after="0"/>
        <w:jc w:val="both"/>
        <w:rPr>
          <w:rFonts w:ascii="Times New Roman;serif" w:hAnsi="Times New Roman;serif"/>
          <w:b/>
          <w:sz w:val="20"/>
        </w:rPr>
      </w:pPr>
      <w:bookmarkStart w:id="9" w:name="i_item2"/>
      <w:bookmarkEnd w:id="9"/>
      <w:r>
        <w:rPr>
          <w:rFonts w:ascii="Times New Roman;serif" w:hAnsi="Times New Roman;serif"/>
          <w:b/>
          <w:sz w:val="20"/>
        </w:rPr>
        <w:t>Item 2. Management’s Discussion and Analysis of Financial Condition and Results of Operations.</w:t>
      </w:r>
    </w:p>
    <w:p>
      <w:pPr>
        <w:pStyle w:val="TextBody"/>
        <w:bidi w:val="0"/>
        <w:spacing w:before="180" w:after="0"/>
        <w:jc w:val="both"/>
        <w:rPr>
          <w:rFonts w:ascii="Times New Roman;serif" w:hAnsi="Times New Roman;serif"/>
          <w:b w:val="false"/>
          <w:i/>
          <w:sz w:val="20"/>
        </w:rPr>
      </w:pPr>
      <w:r>
        <w:rPr>
          <w:rFonts w:ascii="Times New Roman;serif" w:hAnsi="Times New Roman;serif"/>
          <w:b w:val="false"/>
          <w:i/>
          <w:sz w:val="20"/>
        </w:rPr>
        <w:t>Unless the context otherwise requires, all references in this section as to “Talkspace,” the “Company,” “we,” “us” or “our” refer to the business of Talkspace, Inc. and its consolidated subsidiaries.</w:t>
      </w:r>
    </w:p>
    <w:p>
      <w:pPr>
        <w:pStyle w:val="TextBody"/>
        <w:bidi w:val="0"/>
        <w:spacing w:before="180" w:after="0"/>
        <w:jc w:val="both"/>
        <w:rPr>
          <w:rFonts w:ascii="Times New Roman" w:hAnsi="Times New Roman"/>
          <w:sz w:val="20"/>
        </w:rPr>
      </w:pPr>
      <w:r>
        <w:rPr>
          <w:rFonts w:ascii="Times New Roman;serif" w:hAnsi="Times New Roman;serif"/>
          <w:b w:val="false"/>
          <w:i/>
          <w:sz w:val="20"/>
        </w:rPr>
        <w:t>The following discussion and analysis of our financial condition and results of operations should be read together with the financial statements and the related notes contained in this Quarterly Report and the financial statements and related notes contained in the Company's Annual Report on Form 10-K for the fiscal year ended December 31, 2022. This discussion contains forward-looking statements that reflect our plans, estimates, and beliefs that involve risks and uncertainties. As a result of many factors, such as those discussed in Part I, Item 1A, “Risk Factors” of the Company's Annual Report on Form 10-K for the fiscal year ended December 31, 2022 and “Forward-Looking Statements” sections and elsewhere in this Quarterly Report, our actual results may differ materially from those anticipated in these forward-looking statements.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 purpose of this section is to discuss and analyze our consolidated financial condition, liquidity and capital resources and results of operations for the three and six months ended June 30, 2023 and 2022.</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sz w:val="20"/>
        </w:rPr>
        <w:t>Overview</w:t>
      </w:r>
      <w:r>
        <w:rPr>
          <w:rFonts w:ascii="Times New Roman" w:hAnsi="Times New Roman"/>
          <w:sz w:val="20"/>
        </w:rPr>
        <w:t xml:space="preserve">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Talkspace is a healthcare company offering its members convenient and affordable access to a fully-credentialed network of highly qualified providers. We are a leading virtual behavioral health company and, since Talkspace’s founding in 2012, we have connected millions of patients with licensed mental health providers across a wide and growing spectrum of care through virtual counseling, psychotherapy and psychiatry. We created a purpose-built platform to address the vast, unmet and growing demand for mental health services of our members, serving our business-to-business (“B2B”) channel, comprised of large health plans and employee assistance programs (“Payors”) such as Aetna, Cigna, Premera and Optum and large enterprise clients (“DTE”) such as Google and Expedia (collectively, our “clients”), who offer their insured members and employees access to our platform at in-network reimbursement rates, or while their employer is under an active contract with Talkspace, where applicable, and our business-to-consumer (“Consumer”) channel, comprised of individual consumers who subscribe directly to our platform.</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As of June 30, 2023, we had approximately 110 million B2B eligible lives and approximately 13,700 consumer active members compared to 77 million B2B eligible lives and 20,100 consumer active members as of June 30, 2022. For the three and six months ended June 30, 2023, our clinicians completed 200,500 and 372,200 B2B sessions, respectively, related to members covered under our health plan clients, as compared to 96,000 and 186,600 completed B2B sessions for the three and six months ended June 30, 2022. Please refer to the “Key Business Metrics” section below for a description of active members and B2B eligible lives.</w:t>
      </w:r>
    </w:p>
    <w:p>
      <w:pPr>
        <w:pStyle w:val="TextBody"/>
        <w:bidi w:val="0"/>
        <w:spacing w:before="240" w:after="0"/>
        <w:jc w:val="both"/>
        <w:rPr>
          <w:rFonts w:ascii="Times New Roman;serif" w:hAnsi="Times New Roman;serif"/>
          <w:b/>
          <w:sz w:val="20"/>
        </w:rPr>
      </w:pPr>
      <w:r>
        <w:rPr>
          <w:rFonts w:ascii="Times New Roman;serif" w:hAnsi="Times New Roman;serif"/>
          <w:b/>
          <w:sz w:val="20"/>
        </w:rPr>
        <w:t>Operating Segments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Company operates as a single segment and as one reporting unit, which is how the chief operating decision maker (who is the chief executive officer) reviews financial performance and allocates resources.</w:t>
      </w:r>
    </w:p>
    <w:p>
      <w:pPr>
        <w:pStyle w:val="TextBody"/>
        <w:bidi w:val="0"/>
        <w:spacing w:before="240" w:after="0"/>
        <w:jc w:val="both"/>
        <w:rPr>
          <w:rFonts w:ascii="Times New Roman" w:hAnsi="Times New Roman"/>
          <w:sz w:val="20"/>
        </w:rPr>
      </w:pPr>
      <w:r>
        <w:rPr>
          <w:rFonts w:ascii="Times New Roman;serif" w:hAnsi="Times New Roman;serif"/>
          <w:b/>
          <w:sz w:val="20"/>
        </w:rPr>
        <w:t>Key Business Metrics</w:t>
      </w:r>
      <w:r>
        <w:rPr>
          <w:rFonts w:ascii="Times New Roman" w:hAnsi="Times New Roman"/>
          <w:sz w:val="20"/>
        </w:rPr>
        <w:t xml:space="preserve"> </w:t>
      </w:r>
    </w:p>
    <w:p>
      <w:pPr>
        <w:pStyle w:val="TextBody"/>
        <w:bidi w:val="0"/>
        <w:spacing w:before="180" w:after="0"/>
        <w:jc w:val="both"/>
        <w:rPr>
          <w:rFonts w:ascii="Times New Roman" w:hAnsi="Times New Roman"/>
          <w:sz w:val="20"/>
        </w:rPr>
      </w:pPr>
      <w:r>
        <w:rPr>
          <w:rFonts w:ascii="Times New Roman;serif" w:hAnsi="Times New Roman;serif"/>
          <w:b w:val="false"/>
          <w:sz w:val="20"/>
        </w:rPr>
        <w:t>We monitor the following key metrics to help us evaluate our business, identify trends affecting our business, formulate business plans and make strategic decisions. We believe the following metrics are useful in evaluating our business:</w:t>
      </w:r>
      <w:r>
        <w:rPr>
          <w:rFonts w:ascii="Times New Roman" w:hAnsi="Times New Roman"/>
          <w:sz w:val="20"/>
        </w:rPr>
        <w:t xml:space="preserve"> </w:t>
      </w:r>
    </w:p>
    <w:p>
      <w:pPr>
        <w:pStyle w:val="TextBody"/>
        <w:bidi w:val="0"/>
        <w:spacing w:before="0" w:after="0"/>
        <w:jc w:val="both"/>
        <w:rPr/>
      </w:pPr>
      <w:r>
        <w:rPr/>
        <w:t> </w:t>
      </w:r>
    </w:p>
    <w:tbl>
      <w:tblPr>
        <w:tblW w:w="8349" w:type="dxa"/>
        <w:jc w:val="left"/>
        <w:tblInd w:w="0" w:type="dxa"/>
        <w:tblLayout w:type="fixed"/>
        <w:tblCellMar>
          <w:top w:w="28" w:type="dxa"/>
          <w:left w:w="28" w:type="dxa"/>
          <w:bottom w:w="28" w:type="dxa"/>
          <w:right w:w="28" w:type="dxa"/>
        </w:tblCellMar>
      </w:tblPr>
      <w:tblGrid>
        <w:gridCol w:w="6286"/>
        <w:gridCol w:w="146"/>
        <w:gridCol w:w="146"/>
        <w:gridCol w:w="571"/>
        <w:gridCol w:w="146"/>
        <w:gridCol w:w="146"/>
        <w:gridCol w:w="146"/>
        <w:gridCol w:w="571"/>
        <w:gridCol w:w="191"/>
      </w:tblGrid>
      <w:tr>
        <w:trPr/>
        <w:tc>
          <w:tcPr>
            <w:tcW w:w="6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286"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Unaudited</w:t>
            </w:r>
          </w:p>
        </w:tc>
        <w:tc>
          <w:tcPr>
            <w:tcW w:w="146" w:type="dxa"/>
            <w:tcBorders/>
            <w:vAlign w:val="center"/>
          </w:tcPr>
          <w:p>
            <w:pPr>
              <w:pStyle w:val="TableContents"/>
              <w:bidi w:val="0"/>
              <w:spacing w:before="0" w:after="0"/>
              <w:ind w:left="0" w:right="0" w:hanging="0"/>
              <w:jc w:val="left"/>
              <w:rPr/>
            </w:pPr>
            <w:r>
              <w:rPr/>
              <w:t> </w:t>
            </w:r>
          </w:p>
        </w:tc>
        <w:tc>
          <w:tcPr>
            <w:tcW w:w="172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286"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except number of health plan and enterprise clients or otherwise indicated)</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28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Number of B2B eligible lives at period end </w:t>
            </w:r>
            <w:r>
              <w:rPr>
                <w:rFonts w:ascii="Times New Roman;serif" w:hAnsi="Times New Roman;serif"/>
                <w:b w:val="false"/>
                <w:i/>
                <w:sz w:val="20"/>
              </w:rPr>
              <w:t>(in millions)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c>
          <w:tcPr>
            <w:tcW w:w="191" w:type="dxa"/>
            <w:tcBorders/>
            <w:vAlign w:val="center"/>
          </w:tcPr>
          <w:p>
            <w:pPr>
              <w:pStyle w:val="TableContents"/>
              <w:bidi w:val="0"/>
              <w:spacing w:before="0" w:after="0"/>
              <w:ind w:left="0" w:right="0" w:hanging="0"/>
              <w:jc w:val="left"/>
              <w:rPr/>
            </w:pPr>
            <w:r>
              <w:rPr/>
              <w:t> </w:t>
            </w:r>
          </w:p>
        </w:tc>
      </w:tr>
      <w:tr>
        <w:trPr/>
        <w:tc>
          <w:tcPr>
            <w:tcW w:w="62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Number of completed B2B sessions during the period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186.6</w:t>
            </w:r>
          </w:p>
        </w:tc>
        <w:tc>
          <w:tcPr>
            <w:tcW w:w="191" w:type="dxa"/>
            <w:tcBorders/>
            <w:vAlign w:val="center"/>
          </w:tcPr>
          <w:p>
            <w:pPr>
              <w:pStyle w:val="TableContents"/>
              <w:bidi w:val="0"/>
              <w:spacing w:before="0" w:after="0"/>
              <w:ind w:left="0" w:right="0" w:hanging="0"/>
              <w:jc w:val="left"/>
              <w:rPr/>
            </w:pPr>
            <w:r>
              <w:rPr/>
              <w:t> </w:t>
            </w:r>
          </w:p>
        </w:tc>
      </w:tr>
      <w:tr>
        <w:trPr/>
        <w:tc>
          <w:tcPr>
            <w:tcW w:w="62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Number of health plan clients at period end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91" w:type="dxa"/>
            <w:tcBorders/>
            <w:vAlign w:val="center"/>
          </w:tcPr>
          <w:p>
            <w:pPr>
              <w:pStyle w:val="TableContents"/>
              <w:bidi w:val="0"/>
              <w:spacing w:before="0" w:after="0"/>
              <w:ind w:left="0" w:right="0" w:hanging="0"/>
              <w:jc w:val="left"/>
              <w:rPr/>
            </w:pPr>
            <w:r>
              <w:rPr/>
              <w:t> </w:t>
            </w:r>
          </w:p>
        </w:tc>
      </w:tr>
      <w:tr>
        <w:trPr/>
        <w:tc>
          <w:tcPr>
            <w:tcW w:w="62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Number of enterprise clients at period end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w:t>
            </w:r>
          </w:p>
        </w:tc>
        <w:tc>
          <w:tcPr>
            <w:tcW w:w="191" w:type="dxa"/>
            <w:tcBorders/>
            <w:vAlign w:val="center"/>
          </w:tcPr>
          <w:p>
            <w:pPr>
              <w:pStyle w:val="TableContents"/>
              <w:bidi w:val="0"/>
              <w:spacing w:before="0" w:after="0"/>
              <w:ind w:left="0" w:right="0" w:hanging="0"/>
              <w:jc w:val="left"/>
              <w:rPr/>
            </w:pPr>
            <w:r>
              <w:rPr/>
              <w:t> </w:t>
            </w:r>
          </w:p>
        </w:tc>
      </w:tr>
      <w:tr>
        <w:trPr/>
        <w:tc>
          <w:tcPr>
            <w:tcW w:w="62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Number of Consumer active members at period end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_page">
        <w:r>
          <w:rPr>
            <w:rStyle w:val="InternetLink"/>
            <w:rFonts w:ascii="Times New Roman;serif" w:hAnsi="Times New Roman;serif"/>
            <w:b w:val="false"/>
            <w:sz w:val="18"/>
            <w:u w:val="single"/>
          </w:rPr>
          <w:t>Table of Contents</w:t>
        </w:r>
      </w:hyperlink>
    </w:p>
    <w:p>
      <w:pPr>
        <w:pStyle w:val="TextBody"/>
        <w:bidi w:val="0"/>
        <w:spacing w:before="300" w:after="0"/>
        <w:jc w:val="both"/>
        <w:rPr>
          <w:rFonts w:ascii="Times New Roman" w:hAnsi="Times New Roman"/>
          <w:sz w:val="20"/>
        </w:rPr>
      </w:pPr>
      <w:r>
        <w:rPr>
          <w:rFonts w:ascii="Times New Roman;serif" w:hAnsi="Times New Roman;serif"/>
          <w:b w:val="false"/>
          <w:i/>
          <w:sz w:val="20"/>
        </w:rPr>
        <w:t>B2B Eligible Lives:</w:t>
      </w:r>
      <w:r>
        <w:rPr>
          <w:rFonts w:ascii="Times New Roman" w:hAnsi="Times New Roman"/>
          <w:sz w:val="20"/>
        </w:rPr>
        <w:t xml:space="preserve"> </w:t>
      </w:r>
      <w:r>
        <w:rPr>
          <w:rFonts w:ascii="Times New Roman;serif" w:hAnsi="Times New Roman;serif"/>
          <w:b w:val="false"/>
          <w:sz w:val="20"/>
        </w:rPr>
        <w:t>We consider B2B lives “eligible” if such persons are eligible to receive treatment on the Talkspace platform, in the case of our health plan clients, at an agreed upon reimbursement rate through insurance under an employee assistance program or other network behavioral health paid benefit program. There may be instances where a person may be covered through multiple solutions, typically through behavioral health plans and employee assistance programs. In these instances, the person is counted each time they are covered in the B2B eligible lives calculation, which may cause this amount to reflect a higher number of B2B eligible lives than we actually serve.</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i/>
          <w:sz w:val="20"/>
        </w:rPr>
        <w:t>Active Members:</w:t>
      </w:r>
      <w:r>
        <w:rPr>
          <w:rFonts w:ascii="Times New Roman" w:hAnsi="Times New Roman"/>
          <w:sz w:val="20"/>
        </w:rPr>
        <w:t xml:space="preserve"> </w:t>
      </w:r>
      <w:r>
        <w:rPr>
          <w:rFonts w:ascii="Times New Roman;serif" w:hAnsi="Times New Roman;serif"/>
          <w:b w:val="false"/>
          <w:sz w:val="20"/>
        </w:rPr>
        <w:t>We consider members “active”, in the case of our Consumer members, commencing on the date such member initiates contact with a provider on our platform until the term of their monthly, quarterly or bi-annual subscription plan expires, unless terminated early.</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sz w:val="20"/>
        </w:rPr>
        <w:t>Components of Results of Operations</w:t>
      </w:r>
      <w:r>
        <w:rPr>
          <w:rFonts w:ascii="Times New Roman" w:hAnsi="Times New Roman"/>
          <w:sz w:val="20"/>
        </w:rPr>
        <w:t xml:space="preserve"> </w:t>
      </w:r>
    </w:p>
    <w:p>
      <w:pPr>
        <w:pStyle w:val="TextBody"/>
        <w:bidi w:val="0"/>
        <w:spacing w:before="180" w:after="0"/>
        <w:jc w:val="both"/>
        <w:rPr>
          <w:rFonts w:ascii="Times New Roman" w:hAnsi="Times New Roman"/>
          <w:sz w:val="20"/>
        </w:rPr>
      </w:pPr>
      <w:r>
        <w:rPr>
          <w:rFonts w:ascii="Times New Roman;serif" w:hAnsi="Times New Roman;serif"/>
          <w:b/>
          <w:i/>
          <w:sz w:val="20"/>
        </w:rPr>
        <w:t>Revenues</w:t>
      </w:r>
      <w:r>
        <w:rPr>
          <w:rFonts w:ascii="Times New Roman" w:hAnsi="Times New Roman"/>
          <w:sz w:val="20"/>
        </w:rPr>
        <w:t xml:space="preserve">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We contract with health insurance plans, employee assistance organizations and enterprises to provide services to individuals who are qualified to receive access to the Company’s services through the Company’s commercial arrangements. We generate revenues from payments from insured members and claims paid by their respective insurance companies and from contracted platform access fees paid to us by our enterprise clients for the delivery of therapy services to their members or employees. We recognize revenues from services provided to insured members at a point in time, as virtual therapy or psychiatry session is rendered. We recognize revenue from our enterprise clients ratably over the contractual term based primarily on a per-member-per month access fee model.</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also generate revenues from the sale of monthly, quarterly, bi-annual and annual membership subscriptions to the Company's therapy platform as well as supplementary a la carte offerings directly to individual consumers through a subscription plan. We recognize member subscription revenues ratably over the subscription period, beginning when therapy services commence. We recognize revenues from supplementary a la carte offerings at a point in time, as virtual therapy session is rendered. Members may cancel their subscription at any time and will receive a pro-rata refund for the subscription price.</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Revenue growth is generated from increasing our eligible covered lives through contracting with health plans, increasing utilization within eligible covered lives, expanding enterprise clients, and increasing membership subscriptions.</w:t>
      </w:r>
    </w:p>
    <w:p>
      <w:pPr>
        <w:pStyle w:val="TextBody"/>
        <w:bidi w:val="0"/>
        <w:spacing w:before="240" w:after="0"/>
        <w:jc w:val="both"/>
        <w:rPr>
          <w:rFonts w:ascii="Times New Roman" w:hAnsi="Times New Roman"/>
          <w:sz w:val="20"/>
        </w:rPr>
      </w:pPr>
      <w:r>
        <w:rPr>
          <w:rFonts w:ascii="Times New Roman;serif" w:hAnsi="Times New Roman;serif"/>
          <w:b/>
          <w:i/>
          <w:sz w:val="20"/>
        </w:rPr>
        <w:t>Cost of Revenues</w:t>
      </w:r>
      <w:r>
        <w:rPr>
          <w:rFonts w:ascii="Times New Roman" w:hAnsi="Times New Roman"/>
          <w:sz w:val="20"/>
        </w:rPr>
        <w:t xml:space="preserve">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Cost of revenues is comprised primarily of therapist payments. Cost of revenues is largely driven by number of sessions and the size of our provider network that is required to service the growth of our health plan and enterprise clients, in addition to the growth of our customer base.</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designed our business model and our provider network to be scalable and to leverage a hybrid model of both employee providers and independently contracted providers to support multiple growth scenarios. The compensation paid to our independently contracted providers is variable, and the amount paid to a provider is generally based on the amount of time committed by such provider to our members. In addition, our network supervisors have authority to approve the payment of incentive bonuses to providers with certain licenses during periods of higher demand for providers with such licenses. For our employee providers, they receive a fixed-salary and discretionary bonuses, where applicable, all of which is included in cost of revenues.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While we expect to make increased investments to support accelerated growth and the required investment to scale our provider network, we also expect increased efficiencies and economies of scale. Our cost of revenues as a percentage of revenues is expected to fluctuate from period to period depending on the interplay of these factors as well as pricing fluctuations.</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_page">
        <w:r>
          <w:rPr>
            <w:rStyle w:val="InternetLink"/>
            <w:rFonts w:ascii="Times New Roman;serif" w:hAnsi="Times New Roman;serif"/>
            <w:b w:val="false"/>
            <w:sz w:val="18"/>
            <w:u w:val="single"/>
          </w:rPr>
          <w:t>Table of Contents</w:t>
        </w:r>
      </w:hyperlink>
    </w:p>
    <w:p>
      <w:pPr>
        <w:pStyle w:val="TextBody"/>
        <w:bidi w:val="0"/>
        <w:spacing w:before="300" w:after="0"/>
        <w:jc w:val="both"/>
        <w:rPr>
          <w:rFonts w:ascii="Times New Roman" w:hAnsi="Times New Roman"/>
          <w:sz w:val="20"/>
        </w:rPr>
      </w:pPr>
      <w:r>
        <w:rPr>
          <w:rFonts w:ascii="Times New Roman;serif" w:hAnsi="Times New Roman;serif"/>
          <w:b/>
          <w:i/>
          <w:sz w:val="20"/>
        </w:rPr>
        <w:t>Operating Expenses</w:t>
      </w:r>
      <w:r>
        <w:rPr>
          <w:rFonts w:ascii="Times New Roman" w:hAnsi="Times New Roman"/>
          <w:sz w:val="20"/>
        </w:rPr>
        <w:t xml:space="preserve"> </w:t>
      </w:r>
    </w:p>
    <w:p>
      <w:pPr>
        <w:pStyle w:val="TextBody"/>
        <w:bidi w:val="0"/>
        <w:spacing w:before="180" w:after="0"/>
        <w:jc w:val="both"/>
        <w:rPr>
          <w:rFonts w:ascii="Times New Roman" w:hAnsi="Times New Roman"/>
          <w:sz w:val="20"/>
        </w:rPr>
      </w:pPr>
      <w:r>
        <w:rPr>
          <w:rFonts w:ascii="Times New Roman;serif" w:hAnsi="Times New Roman;serif"/>
          <w:b w:val="false"/>
          <w:sz w:val="20"/>
        </w:rPr>
        <w:t>Operating expenses consist of research and development, clinical operations, sales and marketing, and general and administrative expenses.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i/>
          <w:sz w:val="20"/>
        </w:rPr>
        <w:t>Research and Development Expenses</w:t>
      </w:r>
      <w:r>
        <w:rPr>
          <w:rFonts w:ascii="Times New Roman" w:hAnsi="Times New Roman"/>
          <w:sz w:val="20"/>
        </w:rPr>
        <w:t xml:space="preserve">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Research and development expenses include personnel and related expenses for software development and engineering, information technology infrastructure, security, privacy compliance and product development (inclusive of stock-based compensation for our research and development employees), third-party services and contractors related to research and development, information technology and software-related costs.</w:t>
      </w:r>
    </w:p>
    <w:p>
      <w:pPr>
        <w:pStyle w:val="TextBody"/>
        <w:bidi w:val="0"/>
        <w:spacing w:before="240" w:after="0"/>
        <w:jc w:val="both"/>
        <w:rPr>
          <w:rFonts w:ascii="Times New Roman" w:hAnsi="Times New Roman"/>
          <w:sz w:val="20"/>
        </w:rPr>
      </w:pPr>
      <w:r>
        <w:rPr>
          <w:rFonts w:ascii="Times New Roman;serif" w:hAnsi="Times New Roman;serif"/>
          <w:b w:val="false"/>
          <w:i/>
          <w:sz w:val="20"/>
        </w:rPr>
        <w:t>Clinical Operations Expenses</w:t>
      </w:r>
      <w:r>
        <w:rPr>
          <w:rFonts w:ascii="Times New Roman" w:hAnsi="Times New Roman"/>
          <w:sz w:val="20"/>
        </w:rPr>
        <w:t xml:space="preserve">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Clinical operations expenses are associated with the management of our network of therapists. This item is comprised of costs related to recruiting, onboarding, credentialing, training and ongoing quality assurance activities (inclusive of stock-based compensation for our clinical operations employees), costs of third-party services and contractors related to recruiting and training and software-related costs.</w:t>
      </w:r>
    </w:p>
    <w:p>
      <w:pPr>
        <w:pStyle w:val="TextBody"/>
        <w:bidi w:val="0"/>
        <w:spacing w:before="240" w:after="0"/>
        <w:jc w:val="both"/>
        <w:rPr>
          <w:rFonts w:ascii="Times New Roman" w:hAnsi="Times New Roman"/>
          <w:sz w:val="20"/>
        </w:rPr>
      </w:pPr>
      <w:r>
        <w:rPr>
          <w:rFonts w:ascii="Times New Roman;serif" w:hAnsi="Times New Roman;serif"/>
          <w:b w:val="false"/>
          <w:i/>
          <w:sz w:val="20"/>
        </w:rPr>
        <w:t>Sales and Marketing Expenses</w:t>
      </w:r>
      <w:r>
        <w:rPr>
          <w:rFonts w:ascii="Times New Roman" w:hAnsi="Times New Roman"/>
          <w:sz w:val="20"/>
        </w:rPr>
        <w:t xml:space="preserve">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Sales expenses consist primarily of employee-related expenses, including salaries, benefits, commissions, travel and stock-based compensation costs for our employees engaged in sales and account management.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Marketing expenses consist primarily of advertising and marketing expenses for member acquisition and engagement, as well as personnel costs, including salaries, benefits, bonuses, stock-based compensation expense for marketing employees, third-party services and contractors. Marketing expenses also include third-party software subscription services, third-party independent research, participation in trade shows, brand messaging and costs of communications materials that are produced for our clients to generate greater awareness and utilization of our platform among our health plan and enterprise clients.</w:t>
      </w:r>
    </w:p>
    <w:p>
      <w:pPr>
        <w:pStyle w:val="TextBody"/>
        <w:bidi w:val="0"/>
        <w:spacing w:before="240" w:after="0"/>
        <w:jc w:val="both"/>
        <w:rPr>
          <w:rFonts w:ascii="Times New Roman" w:hAnsi="Times New Roman"/>
          <w:sz w:val="20"/>
        </w:rPr>
      </w:pPr>
      <w:r>
        <w:rPr>
          <w:rFonts w:ascii="Times New Roman;serif" w:hAnsi="Times New Roman;serif"/>
          <w:b w:val="false"/>
          <w:i/>
          <w:sz w:val="20"/>
        </w:rPr>
        <w:t>General and Administrative Expenses</w:t>
      </w:r>
      <w:r>
        <w:rPr>
          <w:rFonts w:ascii="Times New Roman" w:hAnsi="Times New Roman"/>
          <w:sz w:val="20"/>
        </w:rPr>
        <w:t xml:space="preserve">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General and administrative expenses consist primarily of personnel costs, including salaries, benefits, bonuses and stock-based compensation expense for certain executives, finance, accounting, legal and human resources functions, as well as professional fees, occupancy costs, and other general overhead costs.</w:t>
      </w:r>
    </w:p>
    <w:p>
      <w:pPr>
        <w:pStyle w:val="TextBody"/>
        <w:bidi w:val="0"/>
        <w:spacing w:before="240" w:after="0"/>
        <w:jc w:val="both"/>
        <w:rPr>
          <w:rFonts w:ascii="Times New Roman" w:hAnsi="Times New Roman"/>
          <w:sz w:val="20"/>
        </w:rPr>
      </w:pPr>
      <w:r>
        <w:rPr>
          <w:rFonts w:ascii="Times New Roman;serif" w:hAnsi="Times New Roman;serif"/>
          <w:b w:val="false"/>
          <w:i/>
          <w:sz w:val="20"/>
        </w:rPr>
        <w:t>Financial income, net</w:t>
      </w:r>
      <w:r>
        <w:rPr>
          <w:rFonts w:ascii="Times New Roman" w:hAnsi="Times New Roman"/>
          <w:sz w:val="20"/>
        </w:rPr>
        <w:t xml:space="preserve">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Financial income, net includes the impact from (i) non-cash changes in the fair value of our warrant liabilities, (ii) interest earned on cash equivalents deposited in our money market accounts and (iii) other financial expenses in connection with bank charges.</w:t>
      </w:r>
    </w:p>
    <w:p>
      <w:pPr>
        <w:pStyle w:val="TextBody"/>
        <w:bidi w:val="0"/>
        <w:spacing w:before="240" w:after="0"/>
        <w:jc w:val="both"/>
        <w:rPr>
          <w:rFonts w:ascii="Times New Roman" w:hAnsi="Times New Roman"/>
          <w:sz w:val="20"/>
        </w:rPr>
      </w:pPr>
      <w:r>
        <w:rPr>
          <w:rFonts w:ascii="Times New Roman;serif" w:hAnsi="Times New Roman;serif"/>
          <w:b w:val="false"/>
          <w:i/>
          <w:sz w:val="20"/>
        </w:rPr>
        <w:t>Taxes on income</w:t>
      </w:r>
      <w:r>
        <w:rPr>
          <w:rFonts w:ascii="Times New Roman" w:hAnsi="Times New Roman"/>
          <w:sz w:val="20"/>
        </w:rPr>
        <w:t xml:space="preserve">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Our taxes on income consists primarily of foreign income taxes related to income generated by our subsidiary organized under the laws of Israel.</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have a full valuation allowance for our U.S. deferred tax assets, including federal and state NOLs. We expect to maintain this valuation allowance until it becomes more likely than not that the benefit of our federal and state deferred tax assets will be realized through expected future taxable income in the United States.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_page">
        <w:r>
          <w:rPr>
            <w:rStyle w:val="InternetLink"/>
            <w:rFonts w:ascii="Times New Roman;serif" w:hAnsi="Times New Roman;serif"/>
            <w:b w:val="false"/>
            <w:sz w:val="18"/>
            <w:u w:val="single"/>
          </w:rPr>
          <w:t>Table of Contents</w:t>
        </w:r>
      </w:hyperlink>
    </w:p>
    <w:p>
      <w:pPr>
        <w:pStyle w:val="TextBody"/>
        <w:bidi w:val="0"/>
        <w:spacing w:before="300" w:after="0"/>
        <w:jc w:val="both"/>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following table presents our results of operations for the three and six months ended June 30, 2023 and 2022 and the dollar and percentage change between the respective periods:</w:t>
      </w:r>
    </w:p>
    <w:p>
      <w:pPr>
        <w:pStyle w:val="TextBody"/>
        <w:bidi w:val="0"/>
        <w:spacing w:before="120" w:after="0"/>
        <w:jc w:val="both"/>
        <w:rPr/>
      </w:pPr>
      <w:r>
        <w:rPr/>
        <w:t> </w:t>
      </w:r>
    </w:p>
    <w:tbl>
      <w:tblPr>
        <w:tblW w:w="9412" w:type="dxa"/>
        <w:jc w:val="left"/>
        <w:tblInd w:w="0" w:type="dxa"/>
        <w:tblLayout w:type="fixed"/>
        <w:tblCellMar>
          <w:top w:w="28" w:type="dxa"/>
          <w:left w:w="28" w:type="dxa"/>
          <w:bottom w:w="28" w:type="dxa"/>
          <w:right w:w="28" w:type="dxa"/>
        </w:tblCellMar>
      </w:tblPr>
      <w:tblGrid>
        <w:gridCol w:w="2521"/>
        <w:gridCol w:w="146"/>
        <w:gridCol w:w="721"/>
        <w:gridCol w:w="146"/>
        <w:gridCol w:w="811"/>
        <w:gridCol w:w="146"/>
        <w:gridCol w:w="721"/>
        <w:gridCol w:w="146"/>
        <w:gridCol w:w="541"/>
        <w:gridCol w:w="146"/>
        <w:gridCol w:w="811"/>
        <w:gridCol w:w="146"/>
        <w:gridCol w:w="811"/>
        <w:gridCol w:w="146"/>
        <w:gridCol w:w="721"/>
        <w:gridCol w:w="146"/>
        <w:gridCol w:w="58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except percentages)</w:t>
            </w:r>
          </w:p>
        </w:tc>
        <w:tc>
          <w:tcPr>
            <w:tcW w:w="146" w:type="dxa"/>
            <w:tcBorders/>
            <w:vAlign w:val="center"/>
          </w:tcPr>
          <w:p>
            <w:pPr>
              <w:pStyle w:val="TableContents"/>
              <w:bidi w:val="0"/>
              <w:spacing w:before="0" w:after="0"/>
              <w:ind w:left="0" w:right="0" w:hanging="0"/>
              <w:jc w:val="center"/>
              <w:rPr/>
            </w:pPr>
            <w:r>
              <w:rPr/>
              <w:t> </w:t>
            </w:r>
          </w:p>
        </w:tc>
        <w:tc>
          <w:tcPr>
            <w:tcW w:w="1678"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08"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Variance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68"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53"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Variance</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Unaudited</w:t>
            </w:r>
          </w:p>
        </w:tc>
        <w:tc>
          <w:tcPr>
            <w:tcW w:w="146" w:type="dxa"/>
            <w:tcBorders/>
            <w:vAlign w:val="center"/>
          </w:tcPr>
          <w:p>
            <w:pPr>
              <w:pStyle w:val="TableContents"/>
              <w:bidi w:val="0"/>
              <w:spacing w:before="0" w:after="0"/>
              <w:ind w:left="0" w:right="0" w:hanging="0"/>
              <w:jc w:val="center"/>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Revenue:</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86" w:type="dxa"/>
            <w:tcBorders/>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Payor revenue</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$18,539</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$7,880</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10,659</w:t>
            </w:r>
          </w:p>
        </w:tc>
        <w:tc>
          <w:tcPr>
            <w:tcW w:w="1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135.3</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$33,350</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$15,990</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17,360</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108.6</w:t>
            </w:r>
          </w:p>
        </w:tc>
      </w:tr>
      <w:tr>
        <w:trPr/>
        <w:tc>
          <w:tcPr>
            <w:tcW w:w="252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DTE revenue</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8,039</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6,685</w:t>
            </w:r>
          </w:p>
        </w:tc>
        <w:tc>
          <w:tcPr>
            <w:tcW w:w="14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1,354</w:t>
            </w:r>
          </w:p>
        </w:tc>
        <w:tc>
          <w:tcPr>
            <w:tcW w:w="1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20.3</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16,715</w:t>
            </w:r>
          </w:p>
        </w:tc>
        <w:tc>
          <w:tcPr>
            <w:tcW w:w="14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12,346</w:t>
            </w:r>
          </w:p>
        </w:tc>
        <w:tc>
          <w:tcPr>
            <w:tcW w:w="14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4,369</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35.4</w:t>
            </w:r>
          </w:p>
        </w:tc>
      </w:tr>
      <w:tr>
        <w:trPr/>
        <w:tc>
          <w:tcPr>
            <w:tcW w:w="252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Total B2B revenue</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26,578</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14,565</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12,013</w:t>
            </w:r>
          </w:p>
        </w:tc>
        <w:tc>
          <w:tcPr>
            <w:tcW w:w="1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82.5</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50,065</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28,336</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21,729</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76.7</w:t>
            </w:r>
          </w:p>
        </w:tc>
      </w:tr>
      <w:tr>
        <w:trPr/>
        <w:tc>
          <w:tcPr>
            <w:tcW w:w="252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Consumer revenue</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9,067</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15,279</w:t>
            </w:r>
          </w:p>
        </w:tc>
        <w:tc>
          <w:tcPr>
            <w:tcW w:w="14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(6,212)</w:t>
            </w:r>
          </w:p>
        </w:tc>
        <w:tc>
          <w:tcPr>
            <w:tcW w:w="1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(40.7)</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18,916</w:t>
            </w:r>
          </w:p>
        </w:tc>
        <w:tc>
          <w:tcPr>
            <w:tcW w:w="14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31,658</w:t>
            </w:r>
          </w:p>
        </w:tc>
        <w:tc>
          <w:tcPr>
            <w:tcW w:w="14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(12,742)</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(40.2)</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revenue</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35,645</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29,844</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5,801</w:t>
            </w:r>
          </w:p>
        </w:tc>
        <w:tc>
          <w:tcPr>
            <w:tcW w:w="1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19.4</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68,981</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59,994</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8,987</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15.0</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Cost of revenue</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17,833</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15,297</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2,536</w:t>
            </w:r>
          </w:p>
        </w:tc>
        <w:tc>
          <w:tcPr>
            <w:tcW w:w="1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16.6</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34,421</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30,426</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3,995</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13.1</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Gross profit</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17,812</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14,547</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3,265</w:t>
            </w:r>
          </w:p>
        </w:tc>
        <w:tc>
          <w:tcPr>
            <w:tcW w:w="1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22.4</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34,560</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29,568</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4,992</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16.9</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Operating expenses:</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Research and development, net</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4,171</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5,576</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(1,405)</w:t>
            </w:r>
          </w:p>
        </w:tc>
        <w:tc>
          <w:tcPr>
            <w:tcW w:w="1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(25.2)</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9,524</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10,611</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(1,087)</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(10.2)</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Clinical operations, net</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1,675</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2,316</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(641)</w:t>
            </w:r>
          </w:p>
        </w:tc>
        <w:tc>
          <w:tcPr>
            <w:tcW w:w="1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(27.7)</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3,276</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4,092</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(816)</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(19.9)</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Sales and marketing</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13,045</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18,931</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(5,886)</w:t>
            </w:r>
          </w:p>
        </w:tc>
        <w:tc>
          <w:tcPr>
            <w:tcW w:w="1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(31.1)</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26,514</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40,339</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(13,825)</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(34.3)</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General and administrative</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5,329</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8,792</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(3,463)</w:t>
            </w:r>
          </w:p>
        </w:tc>
        <w:tc>
          <w:tcPr>
            <w:tcW w:w="1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(39.4)</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10,693</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16,802</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(6,109)</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(36.4)</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operating expenses</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24,220</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35,615</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(11,395)</w:t>
            </w:r>
          </w:p>
        </w:tc>
        <w:tc>
          <w:tcPr>
            <w:tcW w:w="1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(32.0)</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50,007</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71,844</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(21,837)</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(30.4)</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Operating loss</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(6,408)</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(21,068)</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14,660</w:t>
            </w:r>
          </w:p>
        </w:tc>
        <w:tc>
          <w:tcPr>
            <w:tcW w:w="1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69.6</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(15,447)</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(42,276)</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26,829</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63.5</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Financial (income) expense, net</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(1,712)</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1,865</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(3,577)</w:t>
            </w:r>
          </w:p>
        </w:tc>
        <w:tc>
          <w:tcPr>
            <w:tcW w:w="1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(2,136)</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996</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(3,132)</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Loss before taxes on income</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(4,696)</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(22,933)</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18,237</w:t>
            </w:r>
          </w:p>
        </w:tc>
        <w:tc>
          <w:tcPr>
            <w:tcW w:w="1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79.5</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(13,311)</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(43,272)</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29,961</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69.2</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Taxes on income</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(81)</w:t>
            </w:r>
          </w:p>
        </w:tc>
        <w:tc>
          <w:tcPr>
            <w:tcW w:w="1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(91.0)</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151</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110</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37.3</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$(4,704)</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$(23,022)</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$18,318</w:t>
            </w:r>
          </w:p>
        </w:tc>
        <w:tc>
          <w:tcPr>
            <w:tcW w:w="1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79.6</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$(13,462)</w:t>
            </w:r>
          </w:p>
        </w:tc>
        <w:tc>
          <w:tcPr>
            <w:tcW w:w="1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$(43,382)</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$29,920</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69.0</w:t>
            </w:r>
          </w:p>
        </w:tc>
      </w:tr>
    </w:tbl>
    <w:p>
      <w:pPr>
        <w:pStyle w:val="TextBody"/>
        <w:bidi w:val="0"/>
        <w:spacing w:before="120" w:after="0"/>
        <w:jc w:val="both"/>
        <w:rPr>
          <w:rFonts w:ascii="Times New Roman;serif" w:hAnsi="Times New Roman;serif"/>
          <w:b w:val="false"/>
          <w:i/>
          <w:sz w:val="16"/>
        </w:rPr>
      </w:pPr>
      <w:r>
        <w:rPr>
          <w:rFonts w:ascii="Times New Roman;serif" w:hAnsi="Times New Roman;serif"/>
          <w:b w:val="false"/>
          <w:i/>
          <w:sz w:val="16"/>
        </w:rPr>
        <w:t>* Percentage not meaningful</w:t>
      </w:r>
    </w:p>
    <w:p>
      <w:pPr>
        <w:pStyle w:val="TextBody"/>
        <w:bidi w:val="0"/>
        <w:spacing w:before="12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sz w:val="20"/>
        </w:rPr>
        <w:t>Revenues.</w:t>
      </w:r>
      <w:r>
        <w:rPr>
          <w:rFonts w:ascii="Times New Roman" w:hAnsi="Times New Roman"/>
          <w:sz w:val="20"/>
        </w:rPr>
        <w:t xml:space="preserve"> </w:t>
      </w:r>
      <w:r>
        <w:rPr>
          <w:rFonts w:ascii="Times New Roman;serif" w:hAnsi="Times New Roman;serif"/>
          <w:b w:val="false"/>
          <w:sz w:val="20"/>
        </w:rPr>
        <w:t>Revenues increased by $5.8 million, or 19.4% to $35.6 million for the three months ended June 30, 2023 from $29.8 million for the three months ended June 30, 2022. The increase was principally due to a 82.5% growth in B2B revenue driven by a higher number of completed B2B sessions and an increase in covered lives from health plan clients ("Payors") and new enterprise clients ("DTE"), partially offset by a 40.7% decline in consumer subscription revenue. Revenue from our health plan clients increased by $10.7 million, or 135.3%, to $18.5 million for the three months ended June 30, 2023 from $7.9 million for the three months ended June 30, 2022. Enterprise client contracts increased by 12 clients, or 5.9%, to 217 clients as of June 30, 2023 from 205 clients as of June 30, 2022. This increase in the number of enterprise clients drove DTE revenue to increase by $1.4 million, or 20.3% to $8.0 million for the three months ended June 30, 2023 from $6.7 million for the three months ended June 30, 2022. Consumer subscriptions revenue decreased by $6.2 million, or 40.7%, to $9.1 million for the three months ended June 30, 2023 from $15.3 million for the three months ended June 30, 2022, due to the Company's intentional and strategic decision to reduce marketing spend related to this service.</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Revenues increased by $9.0 million, or 15.0% to $69.0 million for the six months ended June 30, 2023 from $60.0 million for the six months ended June 30, 2022. The increase was principally due to a 76.7% growth in B2B revenue driven by a higher number of completed B2B sessions and an increase in covered lives from Payors and new DTE clients, partially offset by a 40.2% decline in consumer subscription revenue. Revenue from our health plan clients increased by $17.4 million, or 108.6%, to $33.4 million for the six months ended June 30, 2023 from $16.0 million for the six months ended June 30, 2022. Enterprise client contracts increased by 12 clients, or 5.9%, to 217 clients as of June 30, 2023 from 205 clients as of June 30, 2022. This increase in the number of enterprise clients drove DTE revenue to increase by $4.4 million, or 35.4% to $16.7 million for the six months ended June 30, 2023 from $12.3 million for the six months ended June 30, 2022. Consumer subscriptions revenue decreased by $12.7 million, or 40.2%, to $18.9 million for the six months ended June 30, 2023 from $31.7 million for the six months ended June 30, 2022, due to the Company's intentional and strategic decision to reduce marketing spend related to this service.</w:t>
      </w:r>
    </w:p>
    <w:p>
      <w:pPr>
        <w:pStyle w:val="TextBody"/>
        <w:bidi w:val="0"/>
        <w:spacing w:before="240" w:after="0"/>
        <w:jc w:val="both"/>
        <w:rPr>
          <w:rFonts w:ascii="Times New Roman" w:hAnsi="Times New Roman"/>
          <w:sz w:val="20"/>
        </w:rPr>
      </w:pPr>
      <w:r>
        <w:rPr>
          <w:rFonts w:ascii="Times New Roman;serif" w:hAnsi="Times New Roman;serif"/>
          <w:b/>
          <w:sz w:val="20"/>
        </w:rPr>
        <w:t>Costs of revenues.</w:t>
      </w:r>
      <w:r>
        <w:rPr>
          <w:rFonts w:ascii="Times New Roman" w:hAnsi="Times New Roman"/>
          <w:sz w:val="20"/>
        </w:rPr>
        <w:t xml:space="preserve"> </w:t>
      </w:r>
      <w:r>
        <w:rPr>
          <w:rFonts w:ascii="Times New Roman;serif" w:hAnsi="Times New Roman;serif"/>
          <w:b w:val="false"/>
          <w:sz w:val="20"/>
        </w:rPr>
        <w:t>Cost of revenues increased by $2.5 million, or 16.6%, to $17.8 million for the three months ended June 30, 2023 from $15.3 million for the three months ended June 30, 2022, and increased by $4.0 million, or 13.1%, to $34.4 million for the six months ended June 30, 2023 from $30.4 million for the six months ended June 30, 2022. The increase in cost of revenues for the three and six months ended June 30, 2023, was primarily due to increased hours worked by therapists to meet strong customer engagement.</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_page">
        <w:r>
          <w:rPr>
            <w:rStyle w:val="InternetLink"/>
            <w:rFonts w:ascii="Times New Roman;serif" w:hAnsi="Times New Roman;serif"/>
            <w:b w:val="false"/>
            <w:sz w:val="18"/>
            <w:u w:val="single"/>
          </w:rPr>
          <w:t>Table of Contents</w:t>
        </w:r>
      </w:hyperlink>
    </w:p>
    <w:p>
      <w:pPr>
        <w:pStyle w:val="TextBody"/>
        <w:bidi w:val="0"/>
        <w:spacing w:before="300" w:after="0"/>
        <w:jc w:val="both"/>
        <w:rPr>
          <w:rFonts w:ascii="Times New Roman" w:hAnsi="Times New Roman"/>
          <w:sz w:val="20"/>
        </w:rPr>
      </w:pPr>
      <w:r>
        <w:rPr>
          <w:rFonts w:ascii="Times New Roman;serif" w:hAnsi="Times New Roman;serif"/>
          <w:b/>
          <w:sz w:val="20"/>
        </w:rPr>
        <w:t>Gross profit</w:t>
      </w:r>
      <w:r>
        <w:rPr>
          <w:rFonts w:ascii="Times New Roman;serif" w:hAnsi="Times New Roman;serif"/>
          <w:b/>
          <w:i/>
          <w:sz w:val="20"/>
        </w:rPr>
        <w:t>.</w:t>
      </w:r>
      <w:r>
        <w:rPr>
          <w:rFonts w:ascii="Times New Roman" w:hAnsi="Times New Roman"/>
          <w:sz w:val="20"/>
        </w:rPr>
        <w:t xml:space="preserve"> </w:t>
      </w:r>
      <w:r>
        <w:rPr>
          <w:rFonts w:ascii="Times New Roman;serif" w:hAnsi="Times New Roman;serif"/>
          <w:b w:val="false"/>
          <w:sz w:val="20"/>
        </w:rPr>
        <w:t>Gross profit increased by $3.3 million, or 22.4%, to $17.8 million for the three months ended June 30, 2023 from $14.5 million for the three months ended June 30, 2022. Gross profit increased by $5.0 million, or 16.9%, to $34.6 million for the six months ended June 30, 2023 from $29.6 million for the six months ended June 30, 2022. The increase in gross profit for the three and six months ended June 30, 2023 was primarily driven by higher revenue and provider network productivity.</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Gross margin was 50.0% for the three months ended June 30, 2023, compared to 48.7% during the three months ended June 30, 2022. Gross margin was 50.1% for the six months ended June 30, 2023, compared to 49.3% during the six months ended June 30, 2022. The increase in gross margin for the three and six months ended June 30, 2023 was primarily due to higher revenue and provider network productivity, partially offset by the revenue shift mix towards B2B revenue.</w:t>
      </w:r>
    </w:p>
    <w:p>
      <w:pPr>
        <w:pStyle w:val="TextBody"/>
        <w:bidi w:val="0"/>
        <w:spacing w:before="240" w:after="0"/>
        <w:jc w:val="both"/>
        <w:rPr>
          <w:rFonts w:ascii="Times New Roman;serif" w:hAnsi="Times New Roman;serif"/>
          <w:b/>
          <w:sz w:val="20"/>
        </w:rPr>
      </w:pPr>
      <w:r>
        <w:rPr>
          <w:rFonts w:ascii="Times New Roman;serif" w:hAnsi="Times New Roman;serif"/>
          <w:b/>
          <w:sz w:val="20"/>
        </w:rPr>
        <w:t>Operating expenses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Overall, our operating expenses for the three and six months ended June 30, 2023 have decreased due to our efficiency initiatives in order to optimize for profitability.</w:t>
      </w:r>
    </w:p>
    <w:p>
      <w:pPr>
        <w:pStyle w:val="TextBody"/>
        <w:bidi w:val="0"/>
        <w:spacing w:before="240" w:after="0"/>
        <w:jc w:val="both"/>
        <w:rPr>
          <w:rFonts w:ascii="Times New Roman" w:hAnsi="Times New Roman"/>
          <w:sz w:val="20"/>
        </w:rPr>
      </w:pPr>
      <w:r>
        <w:rPr>
          <w:rFonts w:ascii="Times New Roman;serif" w:hAnsi="Times New Roman;serif"/>
          <w:b/>
          <w:sz w:val="20"/>
        </w:rPr>
        <w:t>Research and development expenses</w:t>
      </w:r>
      <w:r>
        <w:rPr>
          <w:rFonts w:ascii="Times New Roman;serif" w:hAnsi="Times New Roman;serif"/>
          <w:b/>
          <w:i/>
          <w:sz w:val="20"/>
        </w:rPr>
        <w:t>.</w:t>
      </w:r>
      <w:r>
        <w:rPr>
          <w:rFonts w:ascii="Times New Roman" w:hAnsi="Times New Roman"/>
          <w:sz w:val="20"/>
        </w:rPr>
        <w:t xml:space="preserve"> </w:t>
      </w:r>
      <w:r>
        <w:rPr>
          <w:rFonts w:ascii="Times New Roman;serif" w:hAnsi="Times New Roman;serif"/>
          <w:b w:val="false"/>
          <w:sz w:val="20"/>
        </w:rPr>
        <w:t>Research and development expenses decreased by $1.4 million, or 25.2% to $4.2 million for the three months ended June 30, 2023 from $5.6 million for the three months ended June 30, 2022, and decreased by $1.1 million, or 10.2% to $9.5 million for the six months ended June 30, 2023 from $10.6 million for the six months ended June 30, 2022. The decrease in research and development expenses for the three and six months ended June 30, 2023 was primarily due to a decrease in employee-related costs, inclusive of non-cash stock compensation expense.</w:t>
      </w:r>
    </w:p>
    <w:p>
      <w:pPr>
        <w:pStyle w:val="TextBody"/>
        <w:bidi w:val="0"/>
        <w:spacing w:before="240" w:after="0"/>
        <w:jc w:val="both"/>
        <w:rPr>
          <w:rFonts w:ascii="Times New Roman" w:hAnsi="Times New Roman"/>
          <w:sz w:val="20"/>
        </w:rPr>
      </w:pPr>
      <w:r>
        <w:rPr>
          <w:rFonts w:ascii="Times New Roman;serif" w:hAnsi="Times New Roman;serif"/>
          <w:b/>
          <w:sz w:val="20"/>
        </w:rPr>
        <w:t>Clinical operations expenses</w:t>
      </w:r>
      <w:r>
        <w:rPr>
          <w:rFonts w:ascii="Times New Roman;serif" w:hAnsi="Times New Roman;serif"/>
          <w:b/>
          <w:i/>
          <w:sz w:val="20"/>
        </w:rPr>
        <w:t>.</w:t>
      </w:r>
      <w:r>
        <w:rPr>
          <w:rFonts w:ascii="Times New Roman" w:hAnsi="Times New Roman"/>
          <w:sz w:val="20"/>
        </w:rPr>
        <w:t xml:space="preserve"> </w:t>
      </w:r>
      <w:r>
        <w:rPr>
          <w:rFonts w:ascii="Times New Roman;serif" w:hAnsi="Times New Roman;serif"/>
          <w:b w:val="false"/>
          <w:sz w:val="20"/>
        </w:rPr>
        <w:t>Clinical operations expenses decreased by $0.6 million, or 27.7% to $1.7 million for the three months ended June 30, 2023 from $2.3 million for the three months ended June 30, 2022, and decreased by $0.8 million, or 19.9% to $3.3 million for the six months ended June 30, 2023 from $4.1 million for the six months ended June 30, 2022. The decrease in clinical operations expenses for the three and six months ended June 30, 2023 was primarily due to lower provider recruitment costs.</w:t>
      </w:r>
    </w:p>
    <w:p>
      <w:pPr>
        <w:pStyle w:val="TextBody"/>
        <w:bidi w:val="0"/>
        <w:spacing w:before="240" w:after="0"/>
        <w:jc w:val="both"/>
        <w:rPr>
          <w:rFonts w:ascii="Times New Roman" w:hAnsi="Times New Roman"/>
          <w:sz w:val="20"/>
        </w:rPr>
      </w:pPr>
      <w:r>
        <w:rPr>
          <w:rFonts w:ascii="Times New Roman;serif" w:hAnsi="Times New Roman;serif"/>
          <w:b/>
          <w:sz w:val="20"/>
        </w:rPr>
        <w:t>Sales and marketing expenses</w:t>
      </w:r>
      <w:r>
        <w:rPr>
          <w:rFonts w:ascii="Times New Roman;serif" w:hAnsi="Times New Roman;serif"/>
          <w:b/>
          <w:i/>
          <w:sz w:val="20"/>
        </w:rPr>
        <w:t>.</w:t>
      </w:r>
      <w:r>
        <w:rPr>
          <w:rFonts w:ascii="Times New Roman" w:hAnsi="Times New Roman"/>
          <w:sz w:val="20"/>
        </w:rPr>
        <w:t xml:space="preserve"> </w:t>
      </w:r>
      <w:r>
        <w:rPr>
          <w:rFonts w:ascii="Times New Roman;serif" w:hAnsi="Times New Roman;serif"/>
          <w:b w:val="false"/>
          <w:sz w:val="20"/>
        </w:rPr>
        <w:t>Sales and marketing expenses decreased by $5.9 million, or 31.1%, to $13.0 million for the three months ended June 30, 2023 from $18.9 million for the three months ended June 30, 2022, and decreased by $13.8 million, or 34.3%, to $26.5 million for the six months ended June 30, 2023 from $40.3 million for the six months ended June 30, 2022. The decrease in sales and marketing expenses for the three and six months ended June 30, 2023 was primarily driven by a decrease in direct marketing and promotional costs.</w:t>
      </w:r>
    </w:p>
    <w:p>
      <w:pPr>
        <w:pStyle w:val="TextBody"/>
        <w:bidi w:val="0"/>
        <w:spacing w:before="240" w:after="0"/>
        <w:jc w:val="both"/>
        <w:rPr>
          <w:rFonts w:ascii="Times New Roman" w:hAnsi="Times New Roman"/>
          <w:sz w:val="20"/>
        </w:rPr>
      </w:pPr>
      <w:r>
        <w:rPr>
          <w:rFonts w:ascii="Times New Roman;serif" w:hAnsi="Times New Roman;serif"/>
          <w:b/>
          <w:sz w:val="20"/>
        </w:rPr>
        <w:t>General and administrative expenses.</w:t>
      </w:r>
      <w:r>
        <w:rPr>
          <w:rFonts w:ascii="Times New Roman" w:hAnsi="Times New Roman"/>
          <w:sz w:val="20"/>
        </w:rPr>
        <w:t xml:space="preserve"> </w:t>
      </w:r>
      <w:r>
        <w:rPr>
          <w:rFonts w:ascii="Times New Roman;serif" w:hAnsi="Times New Roman;serif"/>
          <w:b w:val="false"/>
          <w:sz w:val="20"/>
        </w:rPr>
        <w:t>General and administrative expenses decreased by $3.5 million, or 39.4%, to $5.3 million for the three months ended June 30, 2023 from $8.8 million for the three months ended June 30, 2022, and decreased by $6.1 million, or 36.4%, to $10.7 million for the six months ended June 30, 2023 from $16.8 million for the six months ended June 30, 2022. The decrease in general and administrative expenses for the three and six months ended June 30, 2023 was primarily due to a decrease in professional fees, subcontractor costs and employee-related costs, inclusive of non-cash stock compensation expense.</w:t>
      </w:r>
    </w:p>
    <w:p>
      <w:pPr>
        <w:pStyle w:val="TextBody"/>
        <w:bidi w:val="0"/>
        <w:spacing w:before="240" w:after="0"/>
        <w:jc w:val="both"/>
        <w:rPr>
          <w:rFonts w:ascii="Times New Roman" w:hAnsi="Times New Roman"/>
          <w:sz w:val="20"/>
        </w:rPr>
      </w:pPr>
      <w:r>
        <w:rPr>
          <w:rFonts w:ascii="Times New Roman;serif" w:hAnsi="Times New Roman;serif"/>
          <w:b/>
          <w:sz w:val="20"/>
        </w:rPr>
        <w:t>Financial income, net</w:t>
      </w:r>
      <w:r>
        <w:rPr>
          <w:rFonts w:ascii="Times New Roman;serif" w:hAnsi="Times New Roman;serif"/>
          <w:b/>
          <w:i/>
          <w:sz w:val="20"/>
        </w:rPr>
        <w:t>.</w:t>
      </w:r>
      <w:r>
        <w:rPr>
          <w:rFonts w:ascii="Times New Roman" w:hAnsi="Times New Roman"/>
          <w:sz w:val="20"/>
        </w:rPr>
        <w:t xml:space="preserve"> </w:t>
      </w:r>
      <w:r>
        <w:rPr>
          <w:rFonts w:ascii="Times New Roman;serif" w:hAnsi="Times New Roman;serif"/>
          <w:b w:val="false"/>
          <w:sz w:val="20"/>
        </w:rPr>
        <w:t>Financial income, net was $1.7 million for the three months ended June 30, 2023, compared to financial expense, net of $1.9 million for the three months ended June 30, 2022. For the three months ended June 30, 2023 financial income, net was primarily driven by interest income earned on our money market accounts of $1.5 million and $0.3 million in non-cash gains resulting from the remeasurement of warrant liabilities. For the three months ended June 30, 2022 financial expense, net primarily consisted of $2.1 million in non-cash losses resulting from the remeasurement of warrant liabilities.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Financial income, net was $2.1 million for the six months ended June 30, 2023, compared to financial expense, net of $1.0 million for the six months ended June 30, 2022. For the six months ended June 30, 2023 financial income, net was primarily driven by interest income earned on our money market accounts of $2.1 million. For the six months ended June 30, 2022 financial expense, net was primarily driven by $1.2 million of non-cash losses resulting from the remeasurement of warrant liabilities.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 xml:space="preserve">Taxes on income. </w:t>
      </w:r>
      <w:r>
        <w:rPr>
          <w:rFonts w:ascii="Times New Roman;serif" w:hAnsi="Times New Roman;serif"/>
          <w:b w:val="false"/>
          <w:sz w:val="20"/>
        </w:rPr>
        <w:t>Taxes on income consists primarily of foreign income taxes related to income generated by our subsidiary organized under the laws of Israel.</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_page">
        <w:r>
          <w:rPr>
            <w:rStyle w:val="InternetLink"/>
            <w:rFonts w:ascii="Times New Roman;serif" w:hAnsi="Times New Roman;serif"/>
            <w:b w:val="false"/>
            <w:sz w:val="18"/>
            <w:u w:val="single"/>
          </w:rPr>
          <w:t>Table of Contents</w:t>
        </w:r>
      </w:hyperlink>
    </w:p>
    <w:p>
      <w:pPr>
        <w:pStyle w:val="TextBody"/>
        <w:bidi w:val="0"/>
        <w:spacing w:before="300" w:after="0"/>
        <w:jc w:val="left"/>
        <w:rPr>
          <w:rFonts w:ascii="Times New Roman" w:hAnsi="Times New Roman"/>
          <w:sz w:val="20"/>
        </w:rPr>
      </w:pPr>
      <w:r>
        <w:rPr>
          <w:rFonts w:ascii="Times New Roman;serif" w:hAnsi="Times New Roman;serif"/>
          <w:b/>
          <w:sz w:val="20"/>
        </w:rPr>
        <w:t>Non-GAAP Financial Measures</w:t>
      </w:r>
      <w:r>
        <w:rPr>
          <w:rFonts w:ascii="Times New Roman" w:hAnsi="Times New Roman"/>
          <w:sz w:val="20"/>
        </w:rPr>
        <w:t xml:space="preserve">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In addition to our financial results determined in accordance with GAAP, we believe adjusted EBITDA, a non-GAAP measure, is useful in evaluating our operating performance and is a key performance measure that our management uses to assess our operating performance. Because adjusted EBITDA facilitates internal comparisons of our historical operating performance on a more consistent basis, we use this measure for business planning purposes and in evaluating acquisition opportunities. We also use adjusted EBITDA to evaluate our ongoing operations and for internal planning and forecasting purposes. We believe that this non-GAAP financial measure, when taken together with the corresponding GAAP financial measures, provides meaningful supplemental information regarding our performance by excluding certain items that may not be indicative of our business, results of operations or outlook. We believe that the use of adjusted EBITDA is helpful to our investors as it is a metric used by management in assessing the health of our business and our operating performance. However, non-GAAP financial information is presented for supplemental informational purposes only, has limitations as an analytical tool and should not be considered in isolation or as a substitute for financial information presented in accordance with GAAP.</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Some of the limitations of adjusted EBITDA include (i) adjusted EBITDA does not necessarily reflect capital commitments to be paid in the future and (ii) although depreciation and amortization are non-cash charges, the underlying assets may need to be replaced and adjusted EBITDA does not reflect these requirements. In evaluating adjusted EBITDA, you should be aware that in the future we will incur expenses similar to the adjustments described herein. Our presentation of adjusted EBITDA should not be construed as an inference that our future results will be unaffected by these expenses or any unusual or non-recurring items. Our adjusted EBITDA may not be comparable to similarly titled measures of other companies because they may not calculate adjusted EBITDA in the same manner as we calculate the measure, limiting its usefulness as a comparative measure. Adjusted EBITDA should not be considered as an alternative to loss before income taxes, net loss, loss per share, or any other performance measures derived in accordance with U.S. GAAP. When evaluating our performance, you should consider adjusted EBITDA alongside other financial performance measures, including our net loss and other GAAP results.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 reconciliation is provided below for adjusted EBITDA to net loss, the most directly comparable financial measure stated in accordance with GAAP. Investors are encouraged to review our financial statements prepared in accordance with GAAP and the reconciliation of our non-GAAP financial measure to its most directly comparable GAAP financial measure, and not to rely on any single financial measure to evaluate our business.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calculate adjusted EBITDA as net loss income adjusted to exclude (i) depreciation and amortization, (ii) interest and other expenses (income), net, (iii) tax benefit and expense, and (iv) stock-based compensation expense.</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 following table presents a reconciliation of adjusted EBITDA from the most comparable GAAP measure, net loss for the three and six months ended June 30, 2023 and 2022:</w:t>
      </w:r>
      <w:r>
        <w:rPr>
          <w:rFonts w:ascii="Times New Roman" w:hAnsi="Times New Roman"/>
          <w:sz w:val="20"/>
        </w:rPr>
        <w:t xml:space="preserve"> </w:t>
      </w:r>
    </w:p>
    <w:p>
      <w:pPr>
        <w:pStyle w:val="TextBody"/>
        <w:bidi w:val="0"/>
        <w:spacing w:before="0" w:after="0"/>
        <w:jc w:val="both"/>
        <w:rPr/>
      </w:pPr>
      <w:r>
        <w:rPr/>
        <w:t> </w:t>
      </w:r>
    </w:p>
    <w:tbl>
      <w:tblPr>
        <w:tblW w:w="7887" w:type="dxa"/>
        <w:jc w:val="left"/>
        <w:tblInd w:w="0" w:type="dxa"/>
        <w:tblLayout w:type="fixed"/>
        <w:tblCellMar>
          <w:top w:w="28" w:type="dxa"/>
          <w:left w:w="28" w:type="dxa"/>
          <w:bottom w:w="28" w:type="dxa"/>
          <w:right w:w="28" w:type="dxa"/>
        </w:tblCellMar>
      </w:tblPr>
      <w:tblGrid>
        <w:gridCol w:w="2911"/>
        <w:gridCol w:w="146"/>
        <w:gridCol w:w="211"/>
        <w:gridCol w:w="631"/>
        <w:gridCol w:w="166"/>
        <w:gridCol w:w="146"/>
        <w:gridCol w:w="211"/>
        <w:gridCol w:w="736"/>
        <w:gridCol w:w="166"/>
        <w:gridCol w:w="146"/>
        <w:gridCol w:w="211"/>
        <w:gridCol w:w="736"/>
        <w:gridCol w:w="166"/>
        <w:gridCol w:w="146"/>
        <w:gridCol w:w="211"/>
        <w:gridCol w:w="736"/>
        <w:gridCol w:w="21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Unaudited</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(4,704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(23,022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(13,462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(43,382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Add:</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697</w:t>
            </w:r>
          </w:p>
        </w:tc>
        <w:tc>
          <w:tcPr>
            <w:tcW w:w="211" w:type="dxa"/>
            <w:tcBorders/>
            <w:vAlign w:val="center"/>
          </w:tcPr>
          <w:p>
            <w:pPr>
              <w:pStyle w:val="TableContents"/>
              <w:bidi w:val="0"/>
              <w:spacing w:before="0" w:after="0"/>
              <w:ind w:left="0" w:right="0" w:hanging="0"/>
              <w:jc w:val="left"/>
              <w:rPr/>
            </w:pPr>
            <w:r>
              <w:rPr/>
              <w:t> </w:t>
            </w:r>
          </w:p>
        </w:tc>
      </w:tr>
      <w:tr>
        <w:trPr/>
        <w:tc>
          <w:tcPr>
            <w:tcW w:w="291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Financial (income) expense, net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996</w:t>
            </w:r>
          </w:p>
        </w:tc>
        <w:tc>
          <w:tcPr>
            <w:tcW w:w="211" w:type="dxa"/>
            <w:tcBorders/>
            <w:vAlign w:val="center"/>
          </w:tcPr>
          <w:p>
            <w:pPr>
              <w:pStyle w:val="TableContents"/>
              <w:bidi w:val="0"/>
              <w:spacing w:before="0" w:after="0"/>
              <w:ind w:left="0" w:right="0" w:hanging="0"/>
              <w:jc w:val="left"/>
              <w:rPr/>
            </w:pPr>
            <w:r>
              <w:rPr/>
              <w:t> </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Taxes on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w:t>
            </w:r>
          </w:p>
        </w:tc>
        <w:tc>
          <w:tcPr>
            <w:tcW w:w="211" w:type="dxa"/>
            <w:tcBorders/>
            <w:vAlign w:val="center"/>
          </w:tcPr>
          <w:p>
            <w:pPr>
              <w:pStyle w:val="TableContents"/>
              <w:bidi w:val="0"/>
              <w:spacing w:before="0" w:after="0"/>
              <w:ind w:left="0" w:right="0" w:hanging="0"/>
              <w:jc w:val="left"/>
              <w:rPr/>
            </w:pPr>
            <w:r>
              <w:rPr/>
              <w:t> </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6,207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(16,961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(10,407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(35,372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both"/>
        <w:rPr>
          <w:rFonts w:ascii="Times New Roman;serif" w:hAnsi="Times New Roman;serif"/>
          <w:b w:val="false"/>
          <w:sz w:val="17"/>
        </w:rPr>
      </w:pPr>
      <w:r>
        <w:rPr>
          <w:rFonts w:ascii="Times New Roman;serif" w:hAnsi="Times New Roman;serif"/>
          <w:b w:val="false"/>
          <w:sz w:val="17"/>
        </w:rPr>
        <w:t>(1) For the three months ended June 30, 2023, financial (income), net, primarily consisted of $1.5 million of interest income from our money market accounts and $0.3 million in gains resulting from the remeasurement of warrant liabilities. For the six months ended June 30, 2023, financial (income), net, primarily consisted of $2.1 million of interest income from our money market accounts. For the three and six months ended June 30, 2022, financial expense, net primarily consisted of $2.1 million and $1.2 million, respectively, in losses resulting from the remeasurement of warrant liabilities.</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_page">
        <w:r>
          <w:rPr>
            <w:rStyle w:val="InternetLink"/>
            <w:rFonts w:ascii="Times New Roman;serif" w:hAnsi="Times New Roman;serif"/>
            <w:b w:val="false"/>
            <w:sz w:val="18"/>
            <w:u w:val="single"/>
          </w:rPr>
          <w:t>Table of Contents</w:t>
        </w:r>
      </w:hyperlink>
    </w:p>
    <w:p>
      <w:pPr>
        <w:pStyle w:val="TextBody"/>
        <w:bidi w:val="0"/>
        <w:spacing w:before="300" w:after="0"/>
        <w:jc w:val="left"/>
        <w:rPr>
          <w:rFonts w:ascii="Times New Roman" w:hAnsi="Times New Roman"/>
          <w:sz w:val="20"/>
        </w:rPr>
      </w:pPr>
      <w:r>
        <w:rPr>
          <w:rFonts w:ascii="Times New Roman;serif" w:hAnsi="Times New Roman;serif"/>
          <w:b/>
          <w:sz w:val="20"/>
        </w:rPr>
        <w:t>Liquidity and Capital Resources</w:t>
      </w:r>
      <w:r>
        <w:rPr>
          <w:rFonts w:ascii="Times New Roman" w:hAnsi="Times New Roman"/>
          <w:sz w:val="20"/>
        </w:rPr>
        <w:t xml:space="preserve">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As of June 30, 2023, we had $126.1 million of cash and cash equivalents ($138.5 million as of December 31, 2022), which we use to finance our operations and support a variety of growth initiatives and investments. We had no debt as of June 30, 2023.</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Our primary cash needs are to fund operating activities. Our future capital requirements will depend on many factors including our growth rate, contract renewal activity, the timing and extent of investments to support product development efforts, our expansion of sales and marketing activities, the introduction of new and enhanced service offerings, and the continuing market acceptance of virtual behavioral services. Additionally, we may in the future enter into arrangements to acquire or invest in complementary businesses, services and technologies.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currently anticipate to be able to fund our cash needs for at least the next 12 months and thereafter for the foreseeable future using available cash and cash equivalent balances as of June 30, 2023. However, in the future we may require additional capital to respond to technological advancements, competitive dynamics, customer demands, business and investment opportunities, acquisitions or unforeseen circumstances and we may determine to engage in equity or debt financings for other reasons. We may not be able to timely secure additional debt or equity financing on favorable terms, or at all. If we raise additional funds through the issuance of equity or convertible debt or other equity-linked securities, our existing stockholders could experience significant dilution. Any debt financing obtained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cannot raise capital when needed, we may be forced to undertake asset sales or similar measures to ensure adequate liquidity.</w:t>
      </w:r>
    </w:p>
    <w:p>
      <w:pPr>
        <w:pStyle w:val="TextBody"/>
        <w:bidi w:val="0"/>
        <w:spacing w:before="240" w:after="0"/>
        <w:jc w:val="left"/>
        <w:rPr>
          <w:rFonts w:ascii="Times New Roman" w:hAnsi="Times New Roman"/>
          <w:sz w:val="20"/>
        </w:rPr>
      </w:pPr>
      <w:r>
        <w:rPr>
          <w:rFonts w:ascii="Times New Roman;serif" w:hAnsi="Times New Roman;serif"/>
          <w:b/>
          <w:sz w:val="20"/>
        </w:rPr>
        <w:t>Cash Flows from Operating, Investing and Financing Activities</w:t>
      </w:r>
      <w:r>
        <w:rPr>
          <w:rFonts w:ascii="Times New Roman" w:hAnsi="Times New Roman"/>
          <w:sz w:val="20"/>
        </w:rPr>
        <w:t xml:space="preserve"> </w:t>
      </w:r>
    </w:p>
    <w:p>
      <w:pPr>
        <w:pStyle w:val="TextBody"/>
        <w:bidi w:val="0"/>
        <w:spacing w:before="180" w:after="0"/>
        <w:jc w:val="both"/>
        <w:rPr>
          <w:rFonts w:ascii="Times New Roman" w:hAnsi="Times New Roman"/>
          <w:sz w:val="20"/>
        </w:rPr>
      </w:pPr>
      <w:r>
        <w:rPr>
          <w:rFonts w:ascii="Times New Roman;serif" w:hAnsi="Times New Roman;serif"/>
          <w:b w:val="false"/>
          <w:sz w:val="20"/>
        </w:rPr>
        <w:t>The following table presents the summary condensed consolidated cash flow information for the periods presented: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Cash Flows</w:t>
      </w:r>
      <w:r>
        <w:rPr>
          <w:rFonts w:ascii="Times New Roman" w:hAnsi="Times New Roman"/>
          <w:sz w:val="20"/>
        </w:rPr>
        <w:t xml:space="preserve"> </w:t>
      </w:r>
    </w:p>
    <w:tbl>
      <w:tblPr>
        <w:tblW w:w="6764" w:type="dxa"/>
        <w:jc w:val="left"/>
        <w:tblInd w:w="0" w:type="dxa"/>
        <w:tblLayout w:type="fixed"/>
        <w:tblCellMar>
          <w:top w:w="28" w:type="dxa"/>
          <w:left w:w="28" w:type="dxa"/>
          <w:bottom w:w="28" w:type="dxa"/>
          <w:right w:w="28" w:type="dxa"/>
        </w:tblCellMar>
      </w:tblPr>
      <w:tblGrid>
        <w:gridCol w:w="4201"/>
        <w:gridCol w:w="146"/>
        <w:gridCol w:w="211"/>
        <w:gridCol w:w="736"/>
        <w:gridCol w:w="166"/>
        <w:gridCol w:w="146"/>
        <w:gridCol w:w="211"/>
        <w:gridCol w:w="736"/>
        <w:gridCol w:w="21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01"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Unaudited</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01"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(13,748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(33,111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decrease in 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(12,441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(31,634</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40" w:after="0"/>
        <w:jc w:val="both"/>
        <w:rPr>
          <w:rFonts w:ascii="Times New Roman" w:hAnsi="Times New Roman"/>
          <w:sz w:val="20"/>
        </w:rPr>
      </w:pPr>
      <w:r>
        <w:rPr>
          <w:rFonts w:ascii="Times New Roman;serif" w:hAnsi="Times New Roman;serif"/>
          <w:b/>
          <w:i/>
          <w:sz w:val="20"/>
        </w:rPr>
        <w:t>Operating Activities</w:t>
      </w:r>
      <w:r>
        <w:rPr>
          <w:rFonts w:ascii="Times New Roman" w:hAnsi="Times New Roman"/>
          <w:sz w:val="20"/>
        </w:rPr>
        <w:t xml:space="preserve">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decrease in net cash used in operating activities was driven primarily by the positive impact of lower operating expenses, favorable timing of collections on receivables and an increase in interest income from our money market accounts offset by unfavorable timing of payments of account payables and accrued expenses.</w:t>
      </w:r>
    </w:p>
    <w:p>
      <w:pPr>
        <w:pStyle w:val="TextBody"/>
        <w:bidi w:val="0"/>
        <w:spacing w:before="240" w:after="0"/>
        <w:jc w:val="both"/>
        <w:rPr>
          <w:rFonts w:ascii="Times New Roman;serif" w:hAnsi="Times New Roman;serif"/>
          <w:b/>
          <w:i/>
          <w:sz w:val="20"/>
        </w:rPr>
      </w:pPr>
      <w:r>
        <w:rPr>
          <w:rFonts w:ascii="Times New Roman;serif" w:hAnsi="Times New Roman;serif"/>
          <w:b/>
          <w:i/>
          <w:sz w:val="20"/>
        </w:rPr>
        <w:t>Investing Activities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increase in net cash provided by investing activities was driven primarily by an increase in the proceeds from the sale of computer equipment and a decrease in the purchases of computer equipment and software.</w:t>
      </w:r>
    </w:p>
    <w:p>
      <w:pPr>
        <w:pStyle w:val="TextBody"/>
        <w:bidi w:val="0"/>
        <w:spacing w:before="240" w:after="0"/>
        <w:jc w:val="both"/>
        <w:rPr>
          <w:rFonts w:ascii="Times New Roman" w:hAnsi="Times New Roman"/>
          <w:sz w:val="20"/>
        </w:rPr>
      </w:pPr>
      <w:r>
        <w:rPr>
          <w:rFonts w:ascii="Times New Roman;serif" w:hAnsi="Times New Roman;serif"/>
          <w:b/>
          <w:i/>
          <w:sz w:val="20"/>
        </w:rPr>
        <w:t>Financing Activities</w:t>
      </w:r>
      <w:r>
        <w:rPr>
          <w:rFonts w:ascii="Times New Roman" w:hAnsi="Times New Roman"/>
          <w:sz w:val="20"/>
        </w:rPr>
        <w:t xml:space="preserve">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decrease in net cash provided by financing activities was primarily driven by a decrease in the proceeds from the exercise of stock options.</w:t>
      </w:r>
    </w:p>
    <w:p>
      <w:pPr>
        <w:pStyle w:val="TextBody"/>
        <w:bidi w:val="0"/>
        <w:spacing w:before="240" w:after="0"/>
        <w:jc w:val="left"/>
        <w:rPr>
          <w:rFonts w:ascii="Times New Roman" w:hAnsi="Times New Roman"/>
          <w:sz w:val="20"/>
        </w:rPr>
      </w:pPr>
      <w:r>
        <w:rPr>
          <w:rFonts w:ascii="Times New Roman;serif" w:hAnsi="Times New Roman;serif"/>
          <w:b/>
          <w:sz w:val="20"/>
        </w:rPr>
        <w:t>Contractual Obligations, Commitments and Contingencies</w:t>
      </w:r>
      <w:r>
        <w:rPr>
          <w:rFonts w:ascii="Times New Roman" w:hAnsi="Times New Roman"/>
          <w:sz w:val="20"/>
        </w:rPr>
        <w:t xml:space="preserve">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As of June 30, 2023, we did not have any short-term or long-term debt, or significant long-term liabilities.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As of June 30, 2023, we have a non-material long-term operating lease for our office space in New York, NY.</w:t>
      </w:r>
    </w:p>
    <w:p>
      <w:pPr>
        <w:pStyle w:val="TextBody"/>
        <w:bidi w:val="0"/>
        <w:spacing w:before="240" w:after="0"/>
        <w:jc w:val="both"/>
        <w:rPr>
          <w:rFonts w:ascii="Times New Roman" w:hAnsi="Times New Roman"/>
          <w:sz w:val="20"/>
        </w:rPr>
      </w:pPr>
      <w:r>
        <w:rPr>
          <w:rFonts w:ascii="Times New Roman;serif" w:hAnsi="Times New Roman;serif"/>
          <w:b w:val="false"/>
          <w:sz w:val="20"/>
        </w:rPr>
        <w:t>A settlement was reached in February 2023 for certain class action lawsuits ending an ongoing litigation, see Note 5, “Commitments and Contingent Liabilities” in the notes to the condensed consolidated financial statements for further details.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_page">
        <w:r>
          <w:rPr>
            <w:rStyle w:val="InternetLink"/>
            <w:rFonts w:ascii="Times New Roman;serif" w:hAnsi="Times New Roman;serif"/>
            <w:b w:val="false"/>
            <w:sz w:val="18"/>
            <w:u w:val="single"/>
          </w:rPr>
          <w:t>Table of Contents</w:t>
        </w:r>
      </w:hyperlink>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addition, we may in the future be involved in various legal proceedings, claims and litigation that arise in the normal course of business. We accrue for estimated loss contingencies related to legal matters when available information indicates that it is probable a liability had been incurred and we can reasonably estimate the amount of that loss. In many proceedings, however, it is inherently difficult to determine whether any loss is probable or even possible or to estimate the amount of any loss. In addition, even where a loss is possible or an exposure to loss exists in excess of the liability already accrued with respect to a previously recognized loss contingency, it is often not possible to reasonably estimate the size of the possible loss or range of loss or possible additional losses or range of additional losses. Should any of our estimates and assumptions change or prove to be incorrect, it could have a material impact on our results of operations, financial position, and cash flows. See Note 5, “Commitments and Contingent Liabilities” in the notes to the condensed consolidated financial statements for further details.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Our commercial contract arrangements generally include certain provisions requiring us to indemnify clients against liabilities if there is a breach of a client’s data or if our service infringes a third party’s intellectual property rights. To date, we have not incurred any material costs as a result of such indemnifications.</w:t>
      </w:r>
    </w:p>
    <w:p>
      <w:pPr>
        <w:pStyle w:val="TextBody"/>
        <w:bidi w:val="0"/>
        <w:spacing w:before="240" w:after="0"/>
        <w:jc w:val="both"/>
        <w:rPr>
          <w:rFonts w:ascii="Times New Roman" w:hAnsi="Times New Roman"/>
          <w:sz w:val="20"/>
        </w:rPr>
      </w:pPr>
      <w:r>
        <w:rPr>
          <w:rFonts w:ascii="Times New Roman;serif" w:hAnsi="Times New Roman;serif"/>
          <w:b w:val="false"/>
          <w:sz w:val="20"/>
        </w:rPr>
        <w:t>We have also agreed to indemnify our officers and directors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us, arising out of that person’s services as our director or officer or that person’s services provided to any other company or enterprise at our request. We maintain director and officer liability insurance coverage that would generally enable us to recover a portion of any future amounts paid. We may also be subject to indemnification obligations by law with respect to the actions of our employees under certain circumstances and in certain jurisdictions.</w:t>
      </w:r>
      <w:r>
        <w:rPr>
          <w:rFonts w:ascii="Times New Roman" w:hAnsi="Times New Roman"/>
          <w:sz w:val="20"/>
        </w:rPr>
        <w:t xml:space="preserve"> </w:t>
      </w:r>
    </w:p>
    <w:p>
      <w:pPr>
        <w:pStyle w:val="TextBody"/>
        <w:bidi w:val="0"/>
        <w:spacing w:before="240" w:after="120"/>
        <w:jc w:val="left"/>
        <w:rPr>
          <w:rFonts w:ascii="Times New Roman" w:hAnsi="Times New Roman"/>
          <w:sz w:val="20"/>
        </w:rPr>
      </w:pPr>
      <w:r>
        <w:rPr>
          <w:rFonts w:ascii="Times New Roman;serif" w:hAnsi="Times New Roman;serif"/>
          <w:b/>
          <w:sz w:val="20"/>
        </w:rPr>
        <w:t>Off-Balance Sheet Arrangements</w:t>
      </w:r>
      <w:r>
        <w:rPr>
          <w:rFonts w:ascii="Times New Roman" w:hAnsi="Times New Roman"/>
          <w:sz w:val="20"/>
        </w:rPr>
        <w:t xml:space="preserve"> </w:t>
      </w:r>
    </w:p>
    <w:p>
      <w:pPr>
        <w:pStyle w:val="TextBody"/>
        <w:bidi w:val="0"/>
        <w:spacing w:before="180" w:after="0"/>
        <w:jc w:val="both"/>
        <w:rPr>
          <w:rFonts w:ascii="Times New Roman" w:hAnsi="Times New Roman"/>
          <w:sz w:val="20"/>
        </w:rPr>
      </w:pPr>
      <w:r>
        <w:rPr>
          <w:rFonts w:ascii="Times New Roman;serif" w:hAnsi="Times New Roman;serif"/>
          <w:b w:val="false"/>
          <w:sz w:val="20"/>
        </w:rPr>
        <w:t>We do not invest in any off-balance sheet vehicles that provide liquidity, capital resources, market or credit risk support, or engage in any activities that expose us to any liability that is not reflected in our condensed consolidated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Inflation Risk</w:t>
      </w:r>
      <w:r>
        <w:rPr>
          <w:rFonts w:ascii="Times New Roman" w:hAnsi="Times New Roman"/>
          <w:sz w:val="20"/>
        </w:rPr>
        <w:t xml:space="preserve">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or results of operations.</w:t>
      </w:r>
    </w:p>
    <w:p>
      <w:pPr>
        <w:pStyle w:val="TextBody"/>
        <w:bidi w:val="0"/>
        <w:spacing w:before="240" w:after="0"/>
        <w:jc w:val="both"/>
        <w:rPr>
          <w:rFonts w:ascii="Times New Roman;serif" w:hAnsi="Times New Roman;serif"/>
          <w:b/>
          <w:sz w:val="20"/>
        </w:rPr>
      </w:pPr>
      <w:r>
        <w:rPr>
          <w:rFonts w:ascii="Times New Roman;serif" w:hAnsi="Times New Roman;serif"/>
          <w:b/>
          <w:sz w:val="20"/>
        </w:rPr>
        <w:t>Critical Accounting Policies and Estimates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Company’s condensed consolidated financial statements have been prepared in accordance with accounting principles generally accepted in the United States of America. Reference is also made to the Company’s consolidated financial statements and notes thereto found in its Annual Report on Form 10-K for the year ended December 31, 2022.</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Company’s accounting policies are essential to understanding and interpreting the financial results reported on the condensed consolidated financial statements. The significant accounting policies used in the preparation of the Company’s consolidated financial statements are summarized in Note 2 to those financial statements in the Company’s Annual Report on Form 10-K for the year ended December 31, 2022. Certain of those policies are considered to be particularly important to the presentation of the Company's financial results because they require management to make difficult, complex or subjective judgments, often as a result of matters that are inherently uncertain.</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During the six months ended June 30, 2023, there were no material changes to matters discussed under the heading “Critical Accounting Policies and Estimates” in Part II, Item 7 of the Company’s Annual Report on Form 10-K for the year ended December 31, 2022.</w:t>
      </w:r>
    </w:p>
    <w:p>
      <w:pPr>
        <w:pStyle w:val="TextBody"/>
        <w:bidi w:val="0"/>
        <w:spacing w:before="240" w:after="0"/>
        <w:jc w:val="left"/>
        <w:rPr>
          <w:rFonts w:ascii="Times New Roman" w:hAnsi="Times New Roman"/>
          <w:sz w:val="20"/>
        </w:rPr>
      </w:pPr>
      <w:r>
        <w:rPr>
          <w:rFonts w:ascii="Times New Roman;serif" w:hAnsi="Times New Roman;serif"/>
          <w:b/>
          <w:sz w:val="20"/>
        </w:rPr>
        <w:t>Recent Accounting Pronouncements</w:t>
      </w:r>
      <w:r>
        <w:rPr>
          <w:rFonts w:ascii="Times New Roman" w:hAnsi="Times New Roman"/>
          <w:sz w:val="20"/>
        </w:rPr>
        <w:t xml:space="preserve"> </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Information regarding recent accounting developments and their impact on our results can be found in Note 2, “Summary of Significant Accounting Policies and Estimates” in the audited consolidated financial statements included in the Company's Annual Report on Form 10-K for the year ended December 31, 2022 and in Note 2, “Significant Accounting Policies” in the notes to the condensed consolidated financial statements of this Quarterly Report on Form 10-Q.</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_page">
        <w:r>
          <w:rPr>
            <w:rStyle w:val="InternetLink"/>
            <w:rFonts w:ascii="Times New Roman;serif" w:hAnsi="Times New Roman;serif"/>
            <w:b w:val="false"/>
            <w:sz w:val="18"/>
            <w:u w:val="single"/>
          </w:rPr>
          <w:t>Table of Contents</w:t>
        </w:r>
      </w:hyperlink>
    </w:p>
    <w:p>
      <w:pPr>
        <w:pStyle w:val="TextBody"/>
        <w:bidi w:val="0"/>
        <w:spacing w:before="0" w:after="0"/>
        <w:jc w:val="left"/>
        <w:rPr/>
      </w:pPr>
      <w:r>
        <w:rPr/>
        <w:t> </w:t>
      </w:r>
    </w:p>
    <w:p>
      <w:pPr>
        <w:pStyle w:val="TextBody"/>
        <w:bidi w:val="0"/>
        <w:spacing w:before="240" w:after="240"/>
        <w:jc w:val="center"/>
        <w:rPr>
          <w:rFonts w:ascii="Times New Roman;serif" w:hAnsi="Times New Roman;serif"/>
          <w:b/>
          <w:caps/>
          <w:sz w:val="20"/>
        </w:rPr>
      </w:pPr>
      <w:r>
        <w:rPr>
          <w:rFonts w:ascii="Times New Roman;serif" w:hAnsi="Times New Roman;serif"/>
          <w:b/>
          <w:caps/>
          <w:sz w:val="20"/>
        </w:rPr>
        <w:t>FORWARD-LOOKING STATEMENTS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This Quarterly Report on Form 10-Q (the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include, but are not limited to, statements regarding our future results of operations and financial position, industry and business trends, stock-based compensation, revenue recognition, business strategy, plans and market growth.</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forward-looking statements in this Quarterly Report and other such statements we publicly make from time-to-time are only predictions. We base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of the Company's Annual Report on Form 10-K for the fiscal year ended December 31, 2022. The forward-looking statements in this Quarterly Report are based upon information available to us as of the date of this Quarterly,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You should read this Quarterly Report and the risk factors discussed in Part I, Item 1A, “Risk Factors” of the Company’s Annual Report on Form 10-K for the fiscal year ended December 31, 2022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on Form 10-Q or any forward-looking statements we may publicly make from time-to-time, whether as a result of any new information, future events or otherwise.</w:t>
      </w:r>
    </w:p>
    <w:p>
      <w:pPr>
        <w:pStyle w:val="TextBody"/>
        <w:bidi w:val="0"/>
        <w:spacing w:before="360" w:after="0"/>
        <w:jc w:val="left"/>
        <w:rPr>
          <w:rFonts w:ascii="Times New Roman;serif" w:hAnsi="Times New Roman;serif"/>
          <w:b/>
          <w:sz w:val="20"/>
        </w:rPr>
      </w:pPr>
      <w:bookmarkStart w:id="10" w:name="i_item3"/>
      <w:bookmarkEnd w:id="10"/>
      <w:r>
        <w:rPr>
          <w:rFonts w:ascii="Times New Roman;serif" w:hAnsi="Times New Roman;serif"/>
          <w:b/>
          <w:sz w:val="20"/>
        </w:rPr>
        <w:t>Item 3. Quantitative and Qualitative Disclosures About Market Risk.</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During the six months ended June 30, 2023, there were no material changes to the information contained in Part II, Item 7A of the Company’s Annual Report on Form 10-K for the year ended December 31, 2022.</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_page">
        <w:r>
          <w:rPr>
            <w:rStyle w:val="InternetLink"/>
            <w:rFonts w:ascii="Times New Roman;serif" w:hAnsi="Times New Roman;serif"/>
            <w:b w:val="false"/>
            <w:sz w:val="18"/>
            <w:u w:val="single"/>
          </w:rPr>
          <w:t>Table of Contents</w:t>
        </w:r>
      </w:hyperlink>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11" w:name="i_item4"/>
      <w:bookmarkEnd w:id="11"/>
      <w:r>
        <w:rPr>
          <w:rFonts w:ascii="Times New Roman;serif" w:hAnsi="Times New Roman;serif"/>
          <w:b/>
          <w:sz w:val="20"/>
        </w:rPr>
        <w:t>Item 4. Controls and Procedures.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In connection with the preparation of this report, an evaluation was carried out under the supervision, and with the participation of, our management including our Chief Executive Officer (“CEO”) and Chief Financial Officer (“CFO”), of the effectiveness of the design and operation of our disclosure controls and procedures (as defined in Rules 13a-15(e) and 15d-15(e) under the Exchange Act of 1934, as amended (the “Act”)) as of June 30, 2023. Based upon the evaluation and although management has made significant progress in the design and implementation of IT and business process controls, our CEO and CFO concluded our disclosure controls and procedures are not effective as of such date solely due to material weaknesses in internal controls over financial reporting that were disclosed in our Annual Report on Form 10-K for the fiscal year ended December 31, 2022 and are discussed below.</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As previously described in Part II, Item 9A of our Annual Report on Form 10-K for the fiscal year ended December 31, 2022, we concluded that our internal control over financial reporting was not effective solely due to the existence of the following material weaknesses described in our Annual Report on Form 10-K for the fiscal year ended December 31, 2022:</w:t>
      </w:r>
    </w:p>
    <w:p>
      <w:pPr>
        <w:pStyle w:val="TextBody"/>
        <w:bidi w:val="0"/>
        <w:spacing w:before="120" w:after="0"/>
        <w:jc w:val="both"/>
        <w:rPr>
          <w:rFonts w:ascii="Times New Roman" w:hAnsi="Times New Roman"/>
          <w:b w:val="false"/>
          <w:sz w:val="20"/>
        </w:rPr>
      </w:pPr>
      <w:r>
        <w:rPr>
          <w:rFonts w:ascii="Times New Roman" w:hAnsi="Times New Roman"/>
          <w:b w:val="false"/>
          <w:sz w:val="20"/>
        </w:rPr>
        <w:t>1.</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Management was able to complete the design and establish effective information technology general controls (ITGCs) for the majority of tested ITGCs; however, some ineffective ITGC controls existed at December 31, 2022. As a result, business process controls (automated and IT-dependent manual controls) that are dependent on the ineffective ITGCs, or that use data produced from systems impacted by the ineffective ITGCs were deemed ineffective; and </w:t>
      </w:r>
    </w:p>
    <w:p>
      <w:pPr>
        <w:pStyle w:val="TextBody"/>
        <w:bidi w:val="0"/>
        <w:spacing w:before="120" w:after="0"/>
        <w:jc w:val="both"/>
        <w:rPr>
          <w:rFonts w:ascii="Times New Roman" w:hAnsi="Times New Roman"/>
          <w:b w:val="false"/>
          <w:sz w:val="20"/>
        </w:rPr>
      </w:pPr>
      <w:r>
        <w:rPr>
          <w:rFonts w:ascii="Times New Roman" w:hAnsi="Times New Roman"/>
          <w:b w:val="false"/>
          <w:sz w:val="20"/>
        </w:rPr>
        <w:t>2.</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Management did not have an adequate process in place to monitor and provide oversight over the completion of its testing and assessment of the design and operating effectiveness of internal control over financial reporting in a timely manner.</w:t>
      </w:r>
    </w:p>
    <w:p>
      <w:pPr>
        <w:pStyle w:val="TextBody"/>
        <w:bidi w:val="0"/>
        <w:spacing w:before="0" w:after="0"/>
        <w:jc w:val="left"/>
        <w:rPr>
          <w:rFonts w:ascii="Times New Roman" w:hAnsi="Times New Roman"/>
          <w:sz w:val="20"/>
        </w:rPr>
      </w:pPr>
      <w:r>
        <w:rPr>
          <w:rFonts w:ascii="Times New Roman;serif" w:hAnsi="Times New Roman;serif"/>
          <w:b w:val="false"/>
          <w:sz w:val="20"/>
        </w:rPr>
        <w:t>The material weaknesses did not result in any identified misstatements to the financial statements, and there were no changes to previously released financial results.</w:t>
      </w:r>
      <w:r>
        <w:rPr>
          <w:rFonts w:ascii="Times New Roman" w:hAnsi="Times New Roman"/>
          <w:sz w:val="20"/>
        </w:rPr>
        <w:t xml:space="preserve"> </w:t>
      </w:r>
    </w:p>
    <w:p>
      <w:pPr>
        <w:pStyle w:val="TextBody"/>
        <w:bidi w:val="0"/>
        <w:spacing w:before="0" w:after="0"/>
        <w:jc w:val="both"/>
        <w:rPr>
          <w:rFonts w:ascii="Times New Roman;serif" w:hAnsi="Times New Roman;serif"/>
          <w:b/>
          <w:sz w:val="20"/>
        </w:rPr>
      </w:pPr>
      <w:r>
        <w:rPr>
          <w:rFonts w:ascii="Times New Roman;serif" w:hAnsi="Times New Roman;serif"/>
          <w:b/>
          <w:sz w:val="20"/>
        </w:rPr>
        <w:t>Remediation Plan for the Material Weakness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Management is committed to the remediation of the material weakness described above, as well as the continued improvement of the Company’s internal control over financial reporting. Management has implemented and continues to implement measures designed to ensure that control deficiencies contributing to the material weakness are remediated, such that these controls are designed, implemented and operating effectively.</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Remediation efforts include but are not limited to, (a) hiring additional personnel with appropriate technical skill sets, (b) developing an execution plan and resources to test controls and providing timely feedback of any deficiencies noted to complete remediation (c) establishing a training program for the entire organization to support ongoing execution of internal controls and adherence to control activities and (d) actively monitoring corrective actions and providing status reporting to leadership on the progress.</w:t>
      </w:r>
    </w:p>
    <w:p>
      <w:pPr>
        <w:pStyle w:val="TextBody"/>
        <w:bidi w:val="0"/>
        <w:spacing w:before="0" w:after="0"/>
        <w:jc w:val="both"/>
        <w:rPr>
          <w:rFonts w:ascii="Times New Roman" w:hAnsi="Times New Roman"/>
          <w:sz w:val="20"/>
        </w:rPr>
      </w:pPr>
      <w:r>
        <w:rPr>
          <w:rFonts w:ascii="Times New Roman;serif" w:hAnsi="Times New Roman;serif"/>
          <w:b w:val="false"/>
          <w:sz w:val="20"/>
        </w:rPr>
        <w:t>Management will test and evaluate the implementation of internal controls and revised processes to ascertain whether they are designed and operating effectively to provide reasonable assurance that they will prevent or detect a material error in our financial statements.</w:t>
      </w:r>
      <w:r>
        <w:rPr>
          <w:rFonts w:ascii="Times New Roman" w:hAnsi="Times New Roman"/>
          <w:sz w:val="20"/>
        </w:rPr>
        <w:t xml:space="preserve">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believe that once these actions have been completed, it will remediate the material weakness. The material weakness will not be considered remediated, however, until the applicable controls operate for a sufficient period of time and management has concluded, through testing, that controls are operating effectively.</w:t>
      </w:r>
    </w:p>
    <w:p>
      <w:pPr>
        <w:pStyle w:val="TextBody"/>
        <w:bidi w:val="0"/>
        <w:spacing w:before="0" w:after="0"/>
        <w:jc w:val="both"/>
        <w:rPr>
          <w:rFonts w:ascii="Times New Roman;serif" w:hAnsi="Times New Roman;serif"/>
          <w:b/>
          <w:sz w:val="20"/>
        </w:rPr>
      </w:pPr>
      <w:r>
        <w:rPr>
          <w:rFonts w:ascii="Times New Roman;serif" w:hAnsi="Times New Roman;serif"/>
          <w:b/>
          <w:sz w:val="20"/>
        </w:rPr>
        <w:t>Changes in Internal Control Over Financial Reporting</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There have been no changes in the Company’s internal control over financial reporting during the six months ended June 30, 2023 which have materially affected, or are reasonably likely to materially affect, the Company’s internal control over financial reporting.</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In order to enhance the Company's internal control over financial reporting, management has (a) hired additional personnel with appropriate technical skill sets, (b) developed an execution plan and engaged resources to test controls and provide timely feedback of any deficiencies noted, (c) provided training to the organization to support ongoing execution of internal controls and adherence to control activities, and (d) implemented status reporting to leadership on the progress of the assessment of the design and operating effectiveness of internal control over financial reporting.</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_page">
        <w:r>
          <w:rPr>
            <w:rStyle w:val="InternetLink"/>
            <w:rFonts w:ascii="Times New Roman;serif" w:hAnsi="Times New Roman;serif"/>
            <w:b w:val="false"/>
            <w:sz w:val="18"/>
            <w:u w:val="single"/>
          </w:rPr>
          <w:t>Table of Contents</w:t>
        </w:r>
      </w:hyperlink>
    </w:p>
    <w:p>
      <w:pPr>
        <w:pStyle w:val="TextBody"/>
        <w:bidi w:val="0"/>
        <w:spacing w:before="0" w:after="0"/>
        <w:jc w:val="center"/>
        <w:rPr>
          <w:rFonts w:ascii="Times New Roman;serif" w:hAnsi="Times New Roman;serif"/>
          <w:b/>
          <w:sz w:val="20"/>
        </w:rPr>
      </w:pPr>
      <w:r>
        <w:rPr>
          <w:rFonts w:ascii="Times New Roman;serif" w:hAnsi="Times New Roman;serif"/>
          <w:b/>
          <w:sz w:val="20"/>
        </w:rPr>
        <w:t>PART II—OTHER INFORMATION</w:t>
      </w:r>
    </w:p>
    <w:p>
      <w:pPr>
        <w:pStyle w:val="TextBody"/>
        <w:bidi w:val="0"/>
        <w:spacing w:before="300" w:after="0"/>
        <w:jc w:val="left"/>
        <w:rPr>
          <w:rFonts w:ascii="Times New Roman;serif" w:hAnsi="Times New Roman;serif"/>
          <w:b/>
          <w:sz w:val="20"/>
        </w:rPr>
      </w:pPr>
      <w:bookmarkStart w:id="12" w:name="ii_item1"/>
      <w:bookmarkEnd w:id="12"/>
      <w:r>
        <w:rPr>
          <w:rFonts w:ascii="Times New Roman;serif" w:hAnsi="Times New Roman;serif"/>
          <w:b/>
          <w:sz w:val="20"/>
        </w:rPr>
        <w:t>Item 1. Legal Proceedings.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The Company reached settlements for certain class action lawsuits in February 2023 ending on going securities and derivatives suits. The settlements for these lawsuits have received preliminary court approval and are expected to receive final court approval in the third quarter of 2023. See Note 5, “Commitments and Contingent Liabilities” in the notes to the condensed consolidated financial statements for further details.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addition to the foregoing, the Company may in the future be involved in various legal proceedings, claims and litigation that arise in the normal course of business. The Company accrues for estimated loss contingencies related to legal matters when available information indicates that it is probable a liability had been incurred and the Company can reasonably estimate the amount of that loss. In many proceedings, however, it is inherently difficult to determine whether any loss is probable or even possible or to estimate the amount of any loss. In addition, even where a loss is possible or an exposure to loss exists in excess of the liability already accrued with respect to a previously recognized loss contingency, it is often not possible to reasonably estimate the size of the possible loss or range of loss or possible additional losses or range of additional losses.</w:t>
      </w:r>
    </w:p>
    <w:p>
      <w:pPr>
        <w:pStyle w:val="TextBody"/>
        <w:bidi w:val="0"/>
        <w:spacing w:before="300" w:after="0"/>
        <w:jc w:val="left"/>
        <w:rPr>
          <w:rFonts w:ascii="Times New Roman" w:hAnsi="Times New Roman"/>
          <w:sz w:val="20"/>
        </w:rPr>
      </w:pPr>
      <w:bookmarkStart w:id="13" w:name="risk_factors"/>
      <w:bookmarkEnd w:id="13"/>
      <w:r>
        <w:rPr>
          <w:rFonts w:ascii="Times New Roman;serif" w:hAnsi="Times New Roman;serif"/>
          <w:b/>
          <w:caps/>
          <w:sz w:val="20"/>
        </w:rPr>
        <w:t>I</w:t>
      </w:r>
      <w:r>
        <w:rPr>
          <w:rFonts w:ascii="Times New Roman;serif" w:hAnsi="Times New Roman;serif"/>
          <w:b/>
          <w:sz w:val="20"/>
        </w:rPr>
        <w:t>tem</w:t>
      </w:r>
      <w:r>
        <w:rPr>
          <w:rFonts w:ascii="Times New Roman" w:hAnsi="Times New Roman"/>
          <w:caps/>
          <w:sz w:val="20"/>
        </w:rPr>
        <w:t xml:space="preserve"> </w:t>
      </w:r>
      <w:r>
        <w:rPr>
          <w:rFonts w:ascii="Times New Roman;serif" w:hAnsi="Times New Roman;serif"/>
          <w:b/>
          <w:caps/>
          <w:sz w:val="20"/>
        </w:rPr>
        <w:t>1a. R</w:t>
      </w:r>
      <w:r>
        <w:rPr>
          <w:rFonts w:ascii="Times New Roman;serif" w:hAnsi="Times New Roman;serif"/>
          <w:b/>
          <w:sz w:val="20"/>
        </w:rPr>
        <w:t>isk Factors.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In addition to the other information set forth in this Quarterly Report, you should carefully consider the factors discussed under Part I, Item 1A. “Risk Factors” in the Company’s Annual Report on Form 10-K for the year ended December 31, 2022. These factors could materially adversely affect our business, financial condition, liquidity, results of operations and capital position, and could cause our actual results to differ materially from our historical results or the results contemplated by any forward-looking statements contained in this Quarterly Report. During the six months ended June 30, 2023, there were no material changes to the information contained in Part I, Item 1A of the Company's Annual Report on Form 10-K for the year ended December 31, 2022.</w:t>
      </w:r>
    </w:p>
    <w:p>
      <w:pPr>
        <w:pStyle w:val="TextBody"/>
        <w:bidi w:val="0"/>
        <w:spacing w:before="300" w:after="0"/>
        <w:jc w:val="both"/>
        <w:rPr>
          <w:rFonts w:ascii="Times New Roman;serif" w:hAnsi="Times New Roman;serif"/>
          <w:b/>
          <w:sz w:val="20"/>
        </w:rPr>
      </w:pPr>
      <w:bookmarkStart w:id="14" w:name="ii_item2"/>
      <w:bookmarkEnd w:id="14"/>
      <w:r>
        <w:rPr>
          <w:rFonts w:ascii="Times New Roman;serif" w:hAnsi="Times New Roman;serif"/>
          <w:b/>
          <w:sz w:val="20"/>
        </w:rPr>
        <w:t>Item 2. Unregistered Sales of Equity Securities and Use of Proceeds.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300" w:after="0"/>
        <w:jc w:val="both"/>
        <w:rPr>
          <w:rFonts w:ascii="Times New Roman;serif" w:hAnsi="Times New Roman;serif"/>
          <w:b/>
          <w:sz w:val="20"/>
        </w:rPr>
      </w:pPr>
      <w:bookmarkStart w:id="15" w:name="ii_item3"/>
      <w:bookmarkEnd w:id="15"/>
      <w:r>
        <w:rPr>
          <w:rFonts w:ascii="Times New Roman;serif" w:hAnsi="Times New Roman;serif"/>
          <w:b/>
          <w:sz w:val="20"/>
        </w:rPr>
        <w:t>Item 3. Defaults Upon Senior Securities.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None.</w:t>
      </w:r>
    </w:p>
    <w:p>
      <w:pPr>
        <w:pStyle w:val="TextBody"/>
        <w:bidi w:val="0"/>
        <w:spacing w:before="300" w:after="0"/>
        <w:jc w:val="both"/>
        <w:rPr>
          <w:rFonts w:ascii="Times New Roman;serif" w:hAnsi="Times New Roman;serif"/>
          <w:b/>
          <w:sz w:val="20"/>
        </w:rPr>
      </w:pPr>
      <w:bookmarkStart w:id="16" w:name="ii_item4"/>
      <w:bookmarkEnd w:id="16"/>
      <w:r>
        <w:rPr>
          <w:rFonts w:ascii="Times New Roman;serif" w:hAnsi="Times New Roman;serif"/>
          <w:b/>
          <w:sz w:val="20"/>
        </w:rPr>
        <w:t>Item 4. Mine Safety Disclosures.</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300" w:after="0"/>
        <w:jc w:val="both"/>
        <w:rPr>
          <w:rFonts w:ascii="Times New Roman;serif" w:hAnsi="Times New Roman;serif"/>
          <w:b/>
          <w:sz w:val="20"/>
        </w:rPr>
      </w:pPr>
      <w:bookmarkStart w:id="17" w:name="ii_item5"/>
      <w:bookmarkEnd w:id="17"/>
      <w:r>
        <w:rPr>
          <w:rFonts w:ascii="Times New Roman;serif" w:hAnsi="Times New Roman;serif"/>
          <w:b/>
          <w:sz w:val="20"/>
        </w:rPr>
        <w:t>Item 5. Other Information.</w:t>
      </w:r>
    </w:p>
    <w:p>
      <w:pPr>
        <w:pStyle w:val="TextBody"/>
        <w:bidi w:val="0"/>
        <w:spacing w:before="180" w:after="0"/>
        <w:jc w:val="both"/>
        <w:rPr>
          <w:rFonts w:ascii="Times New Roman;serif" w:hAnsi="Times New Roman;serif"/>
          <w:b w:val="false"/>
          <w:sz w:val="20"/>
        </w:rPr>
      </w:pPr>
      <w:r>
        <w:rPr>
          <w:rFonts w:ascii="Times New Roman;serif" w:hAnsi="Times New Roman;serif"/>
          <w:b w:val="false"/>
          <w:sz w:val="20"/>
        </w:rPr>
        <w:t>None.</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240"/>
        <w:jc w:val="both"/>
        <w:rPr>
          <w:rFonts w:ascii="Times New Roman" w:hAnsi="Times New Roman"/>
          <w:sz w:val="20"/>
        </w:rPr>
      </w:pPr>
      <w:bookmarkStart w:id="18" w:name="ii_item6"/>
      <w:bookmarkEnd w:id="18"/>
      <w:r>
        <w:rPr>
          <w:rFonts w:ascii="Times New Roman;serif" w:hAnsi="Times New Roman;serif"/>
          <w:b/>
          <w:sz w:val="20"/>
        </w:rPr>
        <w:t>Item 6. Exhibits.</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842"/>
        <w:gridCol w:w="146"/>
        <w:gridCol w:w="8064"/>
        <w:gridCol w:w="146"/>
        <w:gridCol w:w="1007"/>
      </w:tblGrid>
      <w:tr>
        <w:trPr/>
        <w:tc>
          <w:tcPr>
            <w:tcW w:w="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8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064"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9"/>
              </w:rPr>
            </w:pPr>
            <w:r>
              <w:rPr>
                <w:rFonts w:ascii="Times New Roman;serif" w:hAnsi="Times New Roman;serif"/>
                <w:b/>
                <w:sz w:val="19"/>
              </w:rPr>
              <w:t>Filed/</w:t>
            </w:r>
          </w:p>
        </w:tc>
      </w:tr>
      <w:tr>
        <w:trPr/>
        <w:tc>
          <w:tcPr>
            <w:tcW w:w="8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9"/>
              </w:rPr>
            </w:pPr>
            <w:r>
              <w:rPr>
                <w:rFonts w:ascii="Times New Roman;serif" w:hAnsi="Times New Roman;serif"/>
                <w:b/>
                <w:sz w:val="19"/>
              </w:rPr>
              <w:t>Exhibit</w:t>
            </w:r>
          </w:p>
          <w:p>
            <w:pPr>
              <w:pStyle w:val="TableContents"/>
              <w:bidi w:val="0"/>
              <w:spacing w:before="0" w:after="0"/>
              <w:ind w:left="0" w:right="0" w:hanging="0"/>
              <w:jc w:val="left"/>
              <w:rPr>
                <w:rFonts w:ascii="Times New Roman;serif" w:hAnsi="Times New Roman;serif"/>
                <w:b/>
                <w:sz w:val="19"/>
              </w:rPr>
            </w:pPr>
            <w:r>
              <w:rPr>
                <w:rFonts w:ascii="Times New Roman;serif" w:hAnsi="Times New Roman;serif"/>
                <w:b/>
                <w:sz w:val="19"/>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0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9"/>
              </w:rPr>
            </w:pPr>
            <w:r>
              <w:rPr>
                <w:rFonts w:ascii="Times New Roman;serif" w:hAnsi="Times New Roman;serif"/>
                <w:b/>
                <w:sz w:val="19"/>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9"/>
              </w:rPr>
            </w:pPr>
            <w:r>
              <w:rPr>
                <w:rFonts w:ascii="Times New Roman;serif" w:hAnsi="Times New Roman;serif"/>
                <w:b/>
                <w:sz w:val="19"/>
              </w:rPr>
              <w:t>Furnished</w:t>
            </w:r>
          </w:p>
          <w:p>
            <w:pPr>
              <w:pStyle w:val="TableContents"/>
              <w:bidi w:val="0"/>
              <w:spacing w:before="0" w:after="0"/>
              <w:ind w:left="0" w:right="0" w:hanging="0"/>
              <w:jc w:val="center"/>
              <w:rPr>
                <w:rFonts w:ascii="Times New Roman;serif" w:hAnsi="Times New Roman;serif"/>
                <w:b/>
                <w:sz w:val="19"/>
              </w:rPr>
            </w:pPr>
            <w:r>
              <w:rPr>
                <w:rFonts w:ascii="Times New Roman;serif" w:hAnsi="Times New Roman;serif"/>
                <w:b/>
                <w:sz w:val="19"/>
              </w:rPr>
              <w:t>Herewith</w:t>
            </w:r>
          </w:p>
        </w:tc>
      </w:tr>
      <w:tr>
        <w:trPr/>
        <w:tc>
          <w:tcPr>
            <w:tcW w:w="8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06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7" w:type="dxa"/>
            <w:tcBorders/>
            <w:vAlign w:val="center"/>
          </w:tcPr>
          <w:p>
            <w:pPr>
              <w:pStyle w:val="TableContents"/>
              <w:bidi w:val="0"/>
              <w:spacing w:before="0" w:after="0"/>
              <w:ind w:left="0" w:right="0" w:hanging="0"/>
              <w:jc w:val="center"/>
              <w:rPr/>
            </w:pPr>
            <w:r>
              <w:rPr/>
              <w:t> </w:t>
            </w:r>
          </w:p>
        </w:tc>
      </w:tr>
      <w:tr>
        <w:trPr/>
        <w:tc>
          <w:tcPr>
            <w:tcW w:w="842" w:type="dxa"/>
            <w:tcBorders/>
            <w:vAlign w:val="center"/>
          </w:tcPr>
          <w:p>
            <w:pPr>
              <w:pStyle w:val="TableContents"/>
              <w:bidi w:val="0"/>
              <w:spacing w:before="0" w:after="0"/>
              <w:ind w:left="0" w:right="0" w:hanging="0"/>
              <w:jc w:val="left"/>
              <w:rPr/>
            </w:pPr>
            <w:hyperlink w:anchor="talk-ex31_1.htm">
              <w:r>
                <w:rPr>
                  <w:rStyle w:val="InternetLink"/>
                  <w:rFonts w:ascii="Times New Roman;serif" w:hAnsi="Times New Roman;serif"/>
                  <w:b w:val="false"/>
                  <w:sz w:val="19"/>
                  <w:u w:val="single"/>
                </w:rPr>
                <w:t>31.1</w:t>
              </w:r>
            </w:hyperlink>
          </w:p>
        </w:tc>
        <w:tc>
          <w:tcPr>
            <w:tcW w:w="146" w:type="dxa"/>
            <w:tcBorders/>
            <w:vAlign w:val="center"/>
          </w:tcPr>
          <w:p>
            <w:pPr>
              <w:pStyle w:val="TableContents"/>
              <w:bidi w:val="0"/>
              <w:spacing w:before="0" w:after="0"/>
              <w:ind w:left="0" w:right="0" w:hanging="0"/>
              <w:jc w:val="left"/>
              <w:rPr/>
            </w:pPr>
            <w:r>
              <w:rPr/>
              <w:t> </w:t>
            </w:r>
          </w:p>
        </w:tc>
        <w:tc>
          <w:tcPr>
            <w:tcW w:w="8064" w:type="dxa"/>
            <w:tcBorders/>
            <w:vAlign w:val="center"/>
          </w:tcPr>
          <w:p>
            <w:pPr>
              <w:pStyle w:val="TableContents"/>
              <w:bidi w:val="0"/>
              <w:spacing w:before="0" w:after="0"/>
              <w:ind w:left="0" w:right="0" w:hanging="0"/>
              <w:jc w:val="left"/>
              <w:rPr/>
            </w:pPr>
            <w:hyperlink w:anchor="talk-ex31_1.htm">
              <w:r>
                <w:rPr>
                  <w:rStyle w:val="InternetLink"/>
                  <w:rFonts w:ascii="Times New Roman;serif" w:hAnsi="Times New Roman;serif"/>
                  <w:b w:val="false"/>
                  <w:sz w:val="19"/>
                  <w:u w:val="single"/>
                </w:rPr>
                <w:t>Certification of Chief Executive Officer pursuant to Rule 13a-14(a)/15d-14(a).</w:t>
              </w:r>
            </w:hyperlink>
          </w:p>
        </w:tc>
        <w:tc>
          <w:tcPr>
            <w:tcW w:w="146" w:type="dxa"/>
            <w:tcBorders/>
            <w:vAlign w:val="center"/>
          </w:tcPr>
          <w:p>
            <w:pPr>
              <w:pStyle w:val="TableContents"/>
              <w:bidi w:val="0"/>
              <w:spacing w:before="0" w:after="0"/>
              <w:ind w:left="0" w:right="0" w:hanging="0"/>
              <w:jc w:val="left"/>
              <w:rPr/>
            </w:pPr>
            <w:r>
              <w:rPr/>
              <w:t> </w:t>
            </w:r>
          </w:p>
        </w:tc>
        <w:tc>
          <w:tcPr>
            <w:tcW w:w="1007" w:type="dxa"/>
            <w:tcBorders/>
            <w:vAlign w:val="center"/>
          </w:tcPr>
          <w:p>
            <w:pPr>
              <w:pStyle w:val="TableContents"/>
              <w:bidi w:val="0"/>
              <w:spacing w:before="0" w:after="0"/>
              <w:ind w:left="0" w:right="0" w:hanging="0"/>
              <w:jc w:val="center"/>
              <w:rPr>
                <w:rFonts w:ascii="Times New Roman;serif" w:hAnsi="Times New Roman;serif"/>
                <w:b w:val="false"/>
                <w:sz w:val="19"/>
              </w:rPr>
            </w:pPr>
            <w:r>
              <w:rPr>
                <w:rFonts w:ascii="Times New Roman;serif" w:hAnsi="Times New Roman;serif"/>
                <w:b w:val="false"/>
                <w:sz w:val="19"/>
              </w:rPr>
              <w:t>*</w:t>
            </w:r>
          </w:p>
        </w:tc>
      </w:tr>
      <w:tr>
        <w:trPr/>
        <w:tc>
          <w:tcPr>
            <w:tcW w:w="842" w:type="dxa"/>
            <w:tcBorders/>
            <w:vAlign w:val="center"/>
          </w:tcPr>
          <w:p>
            <w:pPr>
              <w:pStyle w:val="TableContents"/>
              <w:bidi w:val="0"/>
              <w:spacing w:before="0" w:after="0"/>
              <w:ind w:left="0" w:right="0" w:hanging="0"/>
              <w:jc w:val="left"/>
              <w:rPr/>
            </w:pPr>
            <w:hyperlink w:anchor="talk-ex31_2.htm">
              <w:r>
                <w:rPr>
                  <w:rStyle w:val="InternetLink"/>
                  <w:rFonts w:ascii="Times New Roman;serif" w:hAnsi="Times New Roman;serif"/>
                  <w:b w:val="false"/>
                  <w:sz w:val="19"/>
                  <w:u w:val="single"/>
                </w:rPr>
                <w:t>31.2</w:t>
              </w:r>
            </w:hyperlink>
          </w:p>
        </w:tc>
        <w:tc>
          <w:tcPr>
            <w:tcW w:w="146" w:type="dxa"/>
            <w:tcBorders/>
            <w:vAlign w:val="center"/>
          </w:tcPr>
          <w:p>
            <w:pPr>
              <w:pStyle w:val="TableContents"/>
              <w:bidi w:val="0"/>
              <w:spacing w:before="0" w:after="0"/>
              <w:ind w:left="0" w:right="0" w:hanging="0"/>
              <w:jc w:val="left"/>
              <w:rPr/>
            </w:pPr>
            <w:r>
              <w:rPr/>
              <w:t> </w:t>
            </w:r>
          </w:p>
        </w:tc>
        <w:tc>
          <w:tcPr>
            <w:tcW w:w="8064" w:type="dxa"/>
            <w:tcBorders/>
            <w:vAlign w:val="center"/>
          </w:tcPr>
          <w:p>
            <w:pPr>
              <w:pStyle w:val="TableContents"/>
              <w:bidi w:val="0"/>
              <w:spacing w:before="0" w:after="0"/>
              <w:ind w:left="0" w:right="0" w:hanging="0"/>
              <w:jc w:val="left"/>
              <w:rPr/>
            </w:pPr>
            <w:hyperlink w:anchor="talk-ex31_2.htm">
              <w:r>
                <w:rPr>
                  <w:rStyle w:val="InternetLink"/>
                  <w:rFonts w:ascii="Times New Roman;serif" w:hAnsi="Times New Roman;serif"/>
                  <w:b w:val="false"/>
                  <w:sz w:val="19"/>
                  <w:u w:val="single"/>
                </w:rPr>
                <w:t>Certification of Chief Financial Officer pursuant to Rule 13a-14(a)/15d-14(a).</w:t>
              </w:r>
            </w:hyperlink>
          </w:p>
        </w:tc>
        <w:tc>
          <w:tcPr>
            <w:tcW w:w="146" w:type="dxa"/>
            <w:tcBorders/>
            <w:vAlign w:val="center"/>
          </w:tcPr>
          <w:p>
            <w:pPr>
              <w:pStyle w:val="TableContents"/>
              <w:bidi w:val="0"/>
              <w:spacing w:before="0" w:after="0"/>
              <w:ind w:left="0" w:right="0" w:hanging="0"/>
              <w:jc w:val="left"/>
              <w:rPr/>
            </w:pPr>
            <w:r>
              <w:rPr/>
              <w:t> </w:t>
            </w:r>
          </w:p>
        </w:tc>
        <w:tc>
          <w:tcPr>
            <w:tcW w:w="1007" w:type="dxa"/>
            <w:tcBorders/>
            <w:vAlign w:val="center"/>
          </w:tcPr>
          <w:p>
            <w:pPr>
              <w:pStyle w:val="TableContents"/>
              <w:bidi w:val="0"/>
              <w:spacing w:before="0" w:after="0"/>
              <w:ind w:left="0" w:right="0" w:hanging="0"/>
              <w:jc w:val="center"/>
              <w:rPr>
                <w:rFonts w:ascii="Times New Roman;serif" w:hAnsi="Times New Roman;serif"/>
                <w:b w:val="false"/>
                <w:sz w:val="19"/>
              </w:rPr>
            </w:pPr>
            <w:r>
              <w:rPr>
                <w:rFonts w:ascii="Times New Roman;serif" w:hAnsi="Times New Roman;serif"/>
                <w:b w:val="false"/>
                <w:sz w:val="19"/>
              </w:rPr>
              <w:t>*</w:t>
            </w:r>
          </w:p>
        </w:tc>
      </w:tr>
      <w:tr>
        <w:trPr/>
        <w:tc>
          <w:tcPr>
            <w:tcW w:w="842" w:type="dxa"/>
            <w:tcBorders/>
            <w:vAlign w:val="center"/>
          </w:tcPr>
          <w:p>
            <w:pPr>
              <w:pStyle w:val="TableContents"/>
              <w:bidi w:val="0"/>
              <w:spacing w:before="0" w:after="0"/>
              <w:ind w:left="0" w:right="0" w:hanging="0"/>
              <w:jc w:val="left"/>
              <w:rPr/>
            </w:pPr>
            <w:hyperlink w:anchor="talk-ex32_1.htm">
              <w:r>
                <w:rPr>
                  <w:rStyle w:val="InternetLink"/>
                  <w:rFonts w:ascii="Times New Roman;serif" w:hAnsi="Times New Roman;serif"/>
                  <w:b w:val="false"/>
                  <w:sz w:val="19"/>
                  <w:u w:val="single"/>
                </w:rPr>
                <w:t>32.1</w:t>
              </w:r>
            </w:hyperlink>
          </w:p>
        </w:tc>
        <w:tc>
          <w:tcPr>
            <w:tcW w:w="146" w:type="dxa"/>
            <w:tcBorders/>
            <w:vAlign w:val="center"/>
          </w:tcPr>
          <w:p>
            <w:pPr>
              <w:pStyle w:val="TableContents"/>
              <w:bidi w:val="0"/>
              <w:spacing w:before="0" w:after="0"/>
              <w:ind w:left="0" w:right="0" w:hanging="0"/>
              <w:jc w:val="left"/>
              <w:rPr/>
            </w:pPr>
            <w:r>
              <w:rPr/>
              <w:t> </w:t>
            </w:r>
          </w:p>
        </w:tc>
        <w:tc>
          <w:tcPr>
            <w:tcW w:w="8064" w:type="dxa"/>
            <w:tcBorders/>
            <w:vAlign w:val="center"/>
          </w:tcPr>
          <w:p>
            <w:pPr>
              <w:pStyle w:val="TableContents"/>
              <w:bidi w:val="0"/>
              <w:spacing w:before="0" w:after="0"/>
              <w:ind w:left="0" w:right="0" w:hanging="0"/>
              <w:jc w:val="left"/>
              <w:rPr/>
            </w:pPr>
            <w:hyperlink w:anchor="talk-ex32_1.htm">
              <w:r>
                <w:rPr>
                  <w:rStyle w:val="InternetLink"/>
                  <w:rFonts w:ascii="Times New Roman;serif" w:hAnsi="Times New Roman;serif"/>
                  <w:b w:val="false"/>
                  <w:sz w:val="19"/>
                  <w:u w:val="single"/>
                </w:rPr>
                <w:t>Certification of Chief Executive Officer pursuant to 18 U.S.C. Section 1350.</w:t>
              </w:r>
            </w:hyperlink>
          </w:p>
        </w:tc>
        <w:tc>
          <w:tcPr>
            <w:tcW w:w="146" w:type="dxa"/>
            <w:tcBorders/>
            <w:vAlign w:val="center"/>
          </w:tcPr>
          <w:p>
            <w:pPr>
              <w:pStyle w:val="TableContents"/>
              <w:bidi w:val="0"/>
              <w:spacing w:before="0" w:after="0"/>
              <w:ind w:left="0" w:right="0" w:hanging="0"/>
              <w:jc w:val="left"/>
              <w:rPr/>
            </w:pPr>
            <w:r>
              <w:rPr/>
              <w:t> </w:t>
            </w:r>
          </w:p>
        </w:tc>
        <w:tc>
          <w:tcPr>
            <w:tcW w:w="1007" w:type="dxa"/>
            <w:tcBorders/>
            <w:vAlign w:val="center"/>
          </w:tcPr>
          <w:p>
            <w:pPr>
              <w:pStyle w:val="TableContents"/>
              <w:bidi w:val="0"/>
              <w:spacing w:before="0" w:after="0"/>
              <w:ind w:left="0" w:right="0" w:hanging="0"/>
              <w:jc w:val="center"/>
              <w:rPr>
                <w:rFonts w:ascii="Times New Roman;serif" w:hAnsi="Times New Roman;serif"/>
                <w:b w:val="false"/>
                <w:sz w:val="19"/>
              </w:rPr>
            </w:pPr>
            <w:r>
              <w:rPr>
                <w:rFonts w:ascii="Times New Roman;serif" w:hAnsi="Times New Roman;serif"/>
                <w:b w:val="false"/>
                <w:sz w:val="19"/>
              </w:rPr>
              <w:t>**</w:t>
            </w:r>
          </w:p>
        </w:tc>
      </w:tr>
      <w:tr>
        <w:trPr/>
        <w:tc>
          <w:tcPr>
            <w:tcW w:w="842" w:type="dxa"/>
            <w:tcBorders/>
            <w:vAlign w:val="center"/>
          </w:tcPr>
          <w:p>
            <w:pPr>
              <w:pStyle w:val="TableContents"/>
              <w:bidi w:val="0"/>
              <w:spacing w:before="0" w:after="0"/>
              <w:ind w:left="0" w:right="0" w:hanging="0"/>
              <w:jc w:val="left"/>
              <w:rPr/>
            </w:pPr>
            <w:hyperlink w:anchor="talk-ex32_2.htm">
              <w:r>
                <w:rPr>
                  <w:rStyle w:val="InternetLink"/>
                  <w:rFonts w:ascii="Times New Roman;serif" w:hAnsi="Times New Roman;serif"/>
                  <w:b w:val="false"/>
                  <w:sz w:val="19"/>
                  <w:u w:val="single"/>
                </w:rPr>
                <w:t>32.2</w:t>
              </w:r>
            </w:hyperlink>
          </w:p>
        </w:tc>
        <w:tc>
          <w:tcPr>
            <w:tcW w:w="146" w:type="dxa"/>
            <w:tcBorders/>
            <w:vAlign w:val="center"/>
          </w:tcPr>
          <w:p>
            <w:pPr>
              <w:pStyle w:val="TableContents"/>
              <w:bidi w:val="0"/>
              <w:spacing w:before="0" w:after="0"/>
              <w:ind w:left="0" w:right="0" w:hanging="0"/>
              <w:jc w:val="left"/>
              <w:rPr/>
            </w:pPr>
            <w:r>
              <w:rPr/>
              <w:t> </w:t>
            </w:r>
          </w:p>
        </w:tc>
        <w:tc>
          <w:tcPr>
            <w:tcW w:w="8064" w:type="dxa"/>
            <w:tcBorders/>
            <w:vAlign w:val="center"/>
          </w:tcPr>
          <w:p>
            <w:pPr>
              <w:pStyle w:val="TableContents"/>
              <w:bidi w:val="0"/>
              <w:spacing w:before="0" w:after="0"/>
              <w:ind w:left="0" w:right="0" w:hanging="0"/>
              <w:jc w:val="left"/>
              <w:rPr/>
            </w:pPr>
            <w:hyperlink w:anchor="talk-ex32_2.htm">
              <w:r>
                <w:rPr>
                  <w:rStyle w:val="InternetLink"/>
                  <w:rFonts w:ascii="Times New Roman;serif" w:hAnsi="Times New Roman;serif"/>
                  <w:b w:val="false"/>
                  <w:sz w:val="19"/>
                  <w:u w:val="single"/>
                </w:rPr>
                <w:t>Certification of Chief Financial Officer pursuant to 18 U.S.C. Section 1350.</w:t>
              </w:r>
            </w:hyperlink>
          </w:p>
        </w:tc>
        <w:tc>
          <w:tcPr>
            <w:tcW w:w="146" w:type="dxa"/>
            <w:tcBorders/>
            <w:vAlign w:val="center"/>
          </w:tcPr>
          <w:p>
            <w:pPr>
              <w:pStyle w:val="TableContents"/>
              <w:bidi w:val="0"/>
              <w:spacing w:before="0" w:after="0"/>
              <w:ind w:left="0" w:right="0" w:hanging="0"/>
              <w:jc w:val="left"/>
              <w:rPr/>
            </w:pPr>
            <w:r>
              <w:rPr/>
              <w:t> </w:t>
            </w:r>
          </w:p>
        </w:tc>
        <w:tc>
          <w:tcPr>
            <w:tcW w:w="1007" w:type="dxa"/>
            <w:tcBorders/>
            <w:vAlign w:val="center"/>
          </w:tcPr>
          <w:p>
            <w:pPr>
              <w:pStyle w:val="TableContents"/>
              <w:bidi w:val="0"/>
              <w:spacing w:before="0" w:after="0"/>
              <w:ind w:left="0" w:right="0" w:hanging="0"/>
              <w:jc w:val="center"/>
              <w:rPr>
                <w:rFonts w:ascii="Times New Roman;serif" w:hAnsi="Times New Roman;serif"/>
                <w:b w:val="false"/>
                <w:sz w:val="19"/>
              </w:rPr>
            </w:pPr>
            <w:r>
              <w:rPr>
                <w:rFonts w:ascii="Times New Roman;serif" w:hAnsi="Times New Roman;serif"/>
                <w:b w:val="false"/>
                <w:sz w:val="19"/>
              </w:rPr>
              <w:t>**</w:t>
            </w:r>
          </w:p>
        </w:tc>
      </w:tr>
      <w:tr>
        <w:trPr/>
        <w:tc>
          <w:tcPr>
            <w:tcW w:w="84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101.INS</w:t>
            </w:r>
          </w:p>
        </w:tc>
        <w:tc>
          <w:tcPr>
            <w:tcW w:w="146" w:type="dxa"/>
            <w:tcBorders/>
            <w:vAlign w:val="center"/>
          </w:tcPr>
          <w:p>
            <w:pPr>
              <w:pStyle w:val="TableContents"/>
              <w:bidi w:val="0"/>
              <w:spacing w:before="0" w:after="0"/>
              <w:ind w:left="0" w:right="0" w:hanging="0"/>
              <w:jc w:val="left"/>
              <w:rPr/>
            </w:pPr>
            <w:r>
              <w:rPr/>
              <w:t> </w:t>
            </w:r>
          </w:p>
        </w:tc>
        <w:tc>
          <w:tcPr>
            <w:tcW w:w="806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Inline XBRL Instance Document - the instance document does not appear in the Interactive Data file because its XBRL tags are embedded within the Inline XBRL document.</w:t>
            </w:r>
          </w:p>
        </w:tc>
        <w:tc>
          <w:tcPr>
            <w:tcW w:w="146" w:type="dxa"/>
            <w:tcBorders/>
            <w:vAlign w:val="center"/>
          </w:tcPr>
          <w:p>
            <w:pPr>
              <w:pStyle w:val="TableContents"/>
              <w:bidi w:val="0"/>
              <w:spacing w:before="0" w:after="0"/>
              <w:ind w:left="0" w:right="0" w:hanging="0"/>
              <w:jc w:val="left"/>
              <w:rPr/>
            </w:pPr>
            <w:r>
              <w:rPr/>
              <w:t> </w:t>
            </w:r>
          </w:p>
        </w:tc>
        <w:tc>
          <w:tcPr>
            <w:tcW w:w="1007" w:type="dxa"/>
            <w:tcBorders/>
            <w:vAlign w:val="center"/>
          </w:tcPr>
          <w:p>
            <w:pPr>
              <w:pStyle w:val="TableContents"/>
              <w:bidi w:val="0"/>
              <w:spacing w:before="0" w:after="0"/>
              <w:ind w:left="0" w:right="0" w:hanging="0"/>
              <w:jc w:val="center"/>
              <w:rPr>
                <w:rFonts w:ascii="Times New Roman;serif" w:hAnsi="Times New Roman;serif"/>
                <w:b w:val="false"/>
                <w:sz w:val="19"/>
              </w:rPr>
            </w:pPr>
            <w:r>
              <w:rPr>
                <w:rFonts w:ascii="Times New Roman;serif" w:hAnsi="Times New Roman;serif"/>
                <w:b w:val="false"/>
                <w:sz w:val="19"/>
              </w:rPr>
              <w:t>*</w:t>
            </w:r>
          </w:p>
        </w:tc>
      </w:tr>
      <w:tr>
        <w:trPr/>
        <w:tc>
          <w:tcPr>
            <w:tcW w:w="84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101.SCH</w:t>
            </w:r>
          </w:p>
        </w:tc>
        <w:tc>
          <w:tcPr>
            <w:tcW w:w="146" w:type="dxa"/>
            <w:tcBorders/>
            <w:vAlign w:val="center"/>
          </w:tcPr>
          <w:p>
            <w:pPr>
              <w:pStyle w:val="TableContents"/>
              <w:bidi w:val="0"/>
              <w:spacing w:before="0" w:after="0"/>
              <w:ind w:left="0" w:right="0" w:hanging="0"/>
              <w:jc w:val="left"/>
              <w:rPr/>
            </w:pPr>
            <w:r>
              <w:rPr/>
              <w:t> </w:t>
            </w:r>
          </w:p>
        </w:tc>
        <w:tc>
          <w:tcPr>
            <w:tcW w:w="806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Inline XBRL Taxonomy Extension Schema Document.</w:t>
            </w:r>
          </w:p>
        </w:tc>
        <w:tc>
          <w:tcPr>
            <w:tcW w:w="146" w:type="dxa"/>
            <w:tcBorders/>
            <w:vAlign w:val="center"/>
          </w:tcPr>
          <w:p>
            <w:pPr>
              <w:pStyle w:val="TableContents"/>
              <w:bidi w:val="0"/>
              <w:spacing w:before="0" w:after="0"/>
              <w:ind w:left="0" w:right="0" w:hanging="0"/>
              <w:jc w:val="left"/>
              <w:rPr/>
            </w:pPr>
            <w:r>
              <w:rPr/>
              <w:t> </w:t>
            </w:r>
          </w:p>
        </w:tc>
        <w:tc>
          <w:tcPr>
            <w:tcW w:w="1007" w:type="dxa"/>
            <w:tcBorders/>
            <w:vAlign w:val="center"/>
          </w:tcPr>
          <w:p>
            <w:pPr>
              <w:pStyle w:val="TableContents"/>
              <w:bidi w:val="0"/>
              <w:spacing w:before="0" w:after="0"/>
              <w:ind w:left="0" w:right="0" w:hanging="0"/>
              <w:jc w:val="center"/>
              <w:rPr>
                <w:rFonts w:ascii="Times New Roman;serif" w:hAnsi="Times New Roman;serif"/>
                <w:b w:val="false"/>
                <w:sz w:val="19"/>
              </w:rPr>
            </w:pPr>
            <w:r>
              <w:rPr>
                <w:rFonts w:ascii="Times New Roman;serif" w:hAnsi="Times New Roman;serif"/>
                <w:b w:val="false"/>
                <w:sz w:val="19"/>
              </w:rPr>
              <w:t>*</w:t>
            </w:r>
          </w:p>
        </w:tc>
      </w:tr>
      <w:tr>
        <w:trPr/>
        <w:tc>
          <w:tcPr>
            <w:tcW w:w="84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101.CAL</w:t>
            </w:r>
          </w:p>
        </w:tc>
        <w:tc>
          <w:tcPr>
            <w:tcW w:w="146" w:type="dxa"/>
            <w:tcBorders/>
            <w:vAlign w:val="center"/>
          </w:tcPr>
          <w:p>
            <w:pPr>
              <w:pStyle w:val="TableContents"/>
              <w:bidi w:val="0"/>
              <w:spacing w:before="0" w:after="0"/>
              <w:ind w:left="0" w:right="0" w:hanging="0"/>
              <w:jc w:val="left"/>
              <w:rPr/>
            </w:pPr>
            <w:r>
              <w:rPr/>
              <w:t> </w:t>
            </w:r>
          </w:p>
        </w:tc>
        <w:tc>
          <w:tcPr>
            <w:tcW w:w="806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Inline XBRL Taxonomy Extension Calculation Linkbase Document.</w:t>
            </w:r>
          </w:p>
        </w:tc>
        <w:tc>
          <w:tcPr>
            <w:tcW w:w="146" w:type="dxa"/>
            <w:tcBorders/>
            <w:vAlign w:val="center"/>
          </w:tcPr>
          <w:p>
            <w:pPr>
              <w:pStyle w:val="TableContents"/>
              <w:bidi w:val="0"/>
              <w:spacing w:before="0" w:after="0"/>
              <w:ind w:left="0" w:right="0" w:hanging="0"/>
              <w:jc w:val="left"/>
              <w:rPr/>
            </w:pPr>
            <w:r>
              <w:rPr/>
              <w:t> </w:t>
            </w:r>
          </w:p>
        </w:tc>
        <w:tc>
          <w:tcPr>
            <w:tcW w:w="1007" w:type="dxa"/>
            <w:tcBorders/>
            <w:vAlign w:val="center"/>
          </w:tcPr>
          <w:p>
            <w:pPr>
              <w:pStyle w:val="TableContents"/>
              <w:bidi w:val="0"/>
              <w:spacing w:before="0" w:after="0"/>
              <w:ind w:left="0" w:right="0" w:hanging="0"/>
              <w:jc w:val="center"/>
              <w:rPr>
                <w:rFonts w:ascii="Times New Roman;serif" w:hAnsi="Times New Roman;serif"/>
                <w:b w:val="false"/>
                <w:sz w:val="19"/>
              </w:rPr>
            </w:pPr>
            <w:r>
              <w:rPr>
                <w:rFonts w:ascii="Times New Roman;serif" w:hAnsi="Times New Roman;serif"/>
                <w:b w:val="false"/>
                <w:sz w:val="19"/>
              </w:rPr>
              <w:t>*</w:t>
            </w:r>
          </w:p>
        </w:tc>
      </w:tr>
      <w:tr>
        <w:trPr/>
        <w:tc>
          <w:tcPr>
            <w:tcW w:w="84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101.DEF</w:t>
            </w:r>
          </w:p>
        </w:tc>
        <w:tc>
          <w:tcPr>
            <w:tcW w:w="146" w:type="dxa"/>
            <w:tcBorders/>
            <w:vAlign w:val="center"/>
          </w:tcPr>
          <w:p>
            <w:pPr>
              <w:pStyle w:val="TableContents"/>
              <w:bidi w:val="0"/>
              <w:spacing w:before="0" w:after="0"/>
              <w:ind w:left="0" w:right="0" w:hanging="0"/>
              <w:jc w:val="left"/>
              <w:rPr/>
            </w:pPr>
            <w:r>
              <w:rPr/>
              <w:t> </w:t>
            </w:r>
          </w:p>
        </w:tc>
        <w:tc>
          <w:tcPr>
            <w:tcW w:w="806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Inline XBRL Taxonomy Extension Definition Linkbase Document.</w:t>
            </w:r>
          </w:p>
        </w:tc>
        <w:tc>
          <w:tcPr>
            <w:tcW w:w="146" w:type="dxa"/>
            <w:tcBorders/>
            <w:vAlign w:val="center"/>
          </w:tcPr>
          <w:p>
            <w:pPr>
              <w:pStyle w:val="TableContents"/>
              <w:bidi w:val="0"/>
              <w:spacing w:before="0" w:after="0"/>
              <w:ind w:left="0" w:right="0" w:hanging="0"/>
              <w:jc w:val="left"/>
              <w:rPr/>
            </w:pPr>
            <w:r>
              <w:rPr/>
              <w:t> </w:t>
            </w:r>
          </w:p>
        </w:tc>
        <w:tc>
          <w:tcPr>
            <w:tcW w:w="1007" w:type="dxa"/>
            <w:tcBorders/>
            <w:vAlign w:val="center"/>
          </w:tcPr>
          <w:p>
            <w:pPr>
              <w:pStyle w:val="TableContents"/>
              <w:bidi w:val="0"/>
              <w:spacing w:before="0" w:after="0"/>
              <w:ind w:left="0" w:right="0" w:hanging="0"/>
              <w:jc w:val="center"/>
              <w:rPr>
                <w:rFonts w:ascii="Times New Roman;serif" w:hAnsi="Times New Roman;serif"/>
                <w:b w:val="false"/>
                <w:sz w:val="19"/>
              </w:rPr>
            </w:pPr>
            <w:r>
              <w:rPr>
                <w:rFonts w:ascii="Times New Roman;serif" w:hAnsi="Times New Roman;serif"/>
                <w:b w:val="false"/>
                <w:sz w:val="19"/>
              </w:rPr>
              <w:t>*</w:t>
            </w:r>
          </w:p>
        </w:tc>
      </w:tr>
      <w:tr>
        <w:trPr/>
        <w:tc>
          <w:tcPr>
            <w:tcW w:w="84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101.LAB</w:t>
            </w:r>
          </w:p>
        </w:tc>
        <w:tc>
          <w:tcPr>
            <w:tcW w:w="146" w:type="dxa"/>
            <w:tcBorders/>
            <w:vAlign w:val="center"/>
          </w:tcPr>
          <w:p>
            <w:pPr>
              <w:pStyle w:val="TableContents"/>
              <w:bidi w:val="0"/>
              <w:spacing w:before="0" w:after="0"/>
              <w:ind w:left="0" w:right="0" w:hanging="0"/>
              <w:jc w:val="left"/>
              <w:rPr/>
            </w:pPr>
            <w:r>
              <w:rPr/>
              <w:t> </w:t>
            </w:r>
          </w:p>
        </w:tc>
        <w:tc>
          <w:tcPr>
            <w:tcW w:w="806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Inline XBRL Taxonomy Extension Label Linkbase Document.</w:t>
            </w:r>
          </w:p>
        </w:tc>
        <w:tc>
          <w:tcPr>
            <w:tcW w:w="146" w:type="dxa"/>
            <w:tcBorders/>
            <w:vAlign w:val="center"/>
          </w:tcPr>
          <w:p>
            <w:pPr>
              <w:pStyle w:val="TableContents"/>
              <w:bidi w:val="0"/>
              <w:spacing w:before="0" w:after="0"/>
              <w:ind w:left="0" w:right="0" w:hanging="0"/>
              <w:jc w:val="left"/>
              <w:rPr/>
            </w:pPr>
            <w:r>
              <w:rPr/>
              <w:t> </w:t>
            </w:r>
          </w:p>
        </w:tc>
        <w:tc>
          <w:tcPr>
            <w:tcW w:w="1007" w:type="dxa"/>
            <w:tcBorders/>
            <w:vAlign w:val="center"/>
          </w:tcPr>
          <w:p>
            <w:pPr>
              <w:pStyle w:val="TableContents"/>
              <w:bidi w:val="0"/>
              <w:spacing w:before="0" w:after="0"/>
              <w:ind w:left="0" w:right="0" w:hanging="0"/>
              <w:jc w:val="center"/>
              <w:rPr>
                <w:rFonts w:ascii="Times New Roman;serif" w:hAnsi="Times New Roman;serif"/>
                <w:b w:val="false"/>
                <w:sz w:val="19"/>
              </w:rPr>
            </w:pPr>
            <w:r>
              <w:rPr>
                <w:rFonts w:ascii="Times New Roman;serif" w:hAnsi="Times New Roman;serif"/>
                <w:b w:val="false"/>
                <w:sz w:val="19"/>
              </w:rPr>
              <w:t>*</w:t>
            </w:r>
          </w:p>
        </w:tc>
      </w:tr>
      <w:tr>
        <w:trPr/>
        <w:tc>
          <w:tcPr>
            <w:tcW w:w="84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101.PRE</w:t>
            </w:r>
          </w:p>
        </w:tc>
        <w:tc>
          <w:tcPr>
            <w:tcW w:w="146" w:type="dxa"/>
            <w:tcBorders/>
            <w:vAlign w:val="center"/>
          </w:tcPr>
          <w:p>
            <w:pPr>
              <w:pStyle w:val="TableContents"/>
              <w:bidi w:val="0"/>
              <w:spacing w:before="0" w:after="0"/>
              <w:ind w:left="0" w:right="0" w:hanging="0"/>
              <w:jc w:val="left"/>
              <w:rPr/>
            </w:pPr>
            <w:r>
              <w:rPr/>
              <w:t> </w:t>
            </w:r>
          </w:p>
        </w:tc>
        <w:tc>
          <w:tcPr>
            <w:tcW w:w="806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Inline XBRL Taxonomy Extension Presentation Linkbase Document.</w:t>
            </w:r>
          </w:p>
        </w:tc>
        <w:tc>
          <w:tcPr>
            <w:tcW w:w="146" w:type="dxa"/>
            <w:tcBorders/>
            <w:vAlign w:val="center"/>
          </w:tcPr>
          <w:p>
            <w:pPr>
              <w:pStyle w:val="TableContents"/>
              <w:bidi w:val="0"/>
              <w:spacing w:before="0" w:after="0"/>
              <w:ind w:left="0" w:right="0" w:hanging="0"/>
              <w:jc w:val="left"/>
              <w:rPr/>
            </w:pPr>
            <w:r>
              <w:rPr/>
              <w:t> </w:t>
            </w:r>
          </w:p>
        </w:tc>
        <w:tc>
          <w:tcPr>
            <w:tcW w:w="1007" w:type="dxa"/>
            <w:tcBorders/>
            <w:vAlign w:val="center"/>
          </w:tcPr>
          <w:p>
            <w:pPr>
              <w:pStyle w:val="TableContents"/>
              <w:bidi w:val="0"/>
              <w:spacing w:before="0" w:after="0"/>
              <w:ind w:left="0" w:right="0" w:hanging="0"/>
              <w:jc w:val="center"/>
              <w:rPr>
                <w:rFonts w:ascii="Times New Roman;serif" w:hAnsi="Times New Roman;serif"/>
                <w:b w:val="false"/>
                <w:sz w:val="19"/>
              </w:rPr>
            </w:pPr>
            <w:r>
              <w:rPr>
                <w:rFonts w:ascii="Times New Roman;serif" w:hAnsi="Times New Roman;serif"/>
                <w:b w:val="false"/>
                <w:sz w:val="19"/>
              </w:rPr>
              <w:t>*</w:t>
            </w:r>
          </w:p>
        </w:tc>
      </w:tr>
      <w:tr>
        <w:trPr/>
        <w:tc>
          <w:tcPr>
            <w:tcW w:w="842"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104</w:t>
            </w:r>
          </w:p>
        </w:tc>
        <w:tc>
          <w:tcPr>
            <w:tcW w:w="146" w:type="dxa"/>
            <w:tcBorders/>
            <w:vAlign w:val="center"/>
          </w:tcPr>
          <w:p>
            <w:pPr>
              <w:pStyle w:val="TableContents"/>
              <w:bidi w:val="0"/>
              <w:spacing w:before="0" w:after="0"/>
              <w:ind w:left="0" w:right="0" w:hanging="0"/>
              <w:jc w:val="left"/>
              <w:rPr/>
            </w:pPr>
            <w:r>
              <w:rPr/>
              <w:t> </w:t>
            </w:r>
          </w:p>
        </w:tc>
        <w:tc>
          <w:tcPr>
            <w:tcW w:w="806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Cover Page Interactive Data File (as formatted as Inline XBRL and contained in Exhibit 101).</w:t>
            </w:r>
          </w:p>
        </w:tc>
        <w:tc>
          <w:tcPr>
            <w:tcW w:w="146" w:type="dxa"/>
            <w:tcBorders/>
            <w:vAlign w:val="center"/>
          </w:tcPr>
          <w:p>
            <w:pPr>
              <w:pStyle w:val="TableContents"/>
              <w:bidi w:val="0"/>
              <w:spacing w:before="0" w:after="0"/>
              <w:ind w:left="0" w:right="0" w:hanging="0"/>
              <w:jc w:val="left"/>
              <w:rPr/>
            </w:pPr>
            <w:r>
              <w:rPr/>
              <w:t> </w:t>
            </w:r>
          </w:p>
        </w:tc>
        <w:tc>
          <w:tcPr>
            <w:tcW w:w="1007" w:type="dxa"/>
            <w:tcBorders/>
            <w:vAlign w:val="center"/>
          </w:tcPr>
          <w:p>
            <w:pPr>
              <w:pStyle w:val="TableContents"/>
              <w:bidi w:val="0"/>
              <w:spacing w:before="0" w:after="0"/>
              <w:ind w:left="0" w:right="0" w:hanging="0"/>
              <w:jc w:val="center"/>
              <w:rPr>
                <w:rFonts w:ascii="Times New Roman;serif" w:hAnsi="Times New Roman;serif"/>
                <w:b w:val="false"/>
                <w:sz w:val="19"/>
              </w:rPr>
            </w:pPr>
            <w:r>
              <w:rPr>
                <w:rFonts w:ascii="Times New Roman;serif" w:hAnsi="Times New Roman;serif"/>
                <w:b w:val="false"/>
                <w:sz w:val="19"/>
              </w:rPr>
              <w:t>*</w:t>
            </w:r>
          </w:p>
        </w:tc>
      </w:tr>
    </w:tbl>
    <w:p>
      <w:pPr>
        <w:pStyle w:val="TextBody"/>
        <w:bidi w:val="0"/>
        <w:spacing w:before="240" w:after="0"/>
        <w:jc w:val="both"/>
        <w:rPr>
          <w:rFonts w:ascii="Times New Roman;serif" w:hAnsi="Times New Roman;serif"/>
          <w:b w:val="false"/>
          <w:sz w:val="17"/>
        </w:rPr>
      </w:pPr>
      <w:r>
        <w:rPr>
          <w:rFonts w:ascii="Times New Roman;serif" w:hAnsi="Times New Roman;serif"/>
          <w:b w:val="false"/>
          <w:sz w:val="17"/>
        </w:rPr>
        <w:t>* Filed herewith.</w:t>
      </w:r>
    </w:p>
    <w:p>
      <w:pPr>
        <w:pStyle w:val="TextBody"/>
        <w:bidi w:val="0"/>
        <w:spacing w:before="0" w:after="0"/>
        <w:jc w:val="both"/>
        <w:rPr>
          <w:rFonts w:ascii="Times New Roman;serif" w:hAnsi="Times New Roman;serif"/>
          <w:b w:val="false"/>
          <w:sz w:val="17"/>
        </w:rPr>
      </w:pPr>
      <w:r>
        <w:rPr>
          <w:rFonts w:ascii="Times New Roman;serif" w:hAnsi="Times New Roman;serif"/>
          <w:b w:val="false"/>
          <w:sz w:val="17"/>
        </w:rPr>
        <w:t>** Furnished herewith.</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19" w:name="signatures"/>
      <w:bookmarkEnd w:id="19"/>
      <w:r>
        <w:rPr>
          <w:rFonts w:ascii="Times New Roman;serif" w:hAnsi="Times New Roman;serif"/>
          <w:b/>
          <w:sz w:val="20"/>
        </w:rPr>
        <w:t>SIGNATURES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t> </w:t>
      </w:r>
    </w:p>
    <w:tbl>
      <w:tblPr>
        <w:tblW w:w="4432" w:type="dxa"/>
        <w:jc w:val="left"/>
        <w:tblInd w:w="0" w:type="dxa"/>
        <w:tblLayout w:type="fixed"/>
        <w:tblCellMar>
          <w:top w:w="28" w:type="dxa"/>
          <w:left w:w="28" w:type="dxa"/>
          <w:bottom w:w="28" w:type="dxa"/>
          <w:right w:w="28" w:type="dxa"/>
        </w:tblCellMar>
      </w:tblPr>
      <w:tblGrid>
        <w:gridCol w:w="1846"/>
        <w:gridCol w:w="109"/>
        <w:gridCol w:w="406"/>
        <w:gridCol w:w="207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7" w:type="dxa"/>
            <w:gridSpan w:val="2"/>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Talkspace, Inc.</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2,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07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Jon Cohen</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Jon Cohen</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2,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07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Jennifer Fulk</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Jennifer Fulk</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0" w:name="talk-ex31_1.htm"/>
      <w:bookmarkStart w:id="21" w:name="kstalkex31_1"/>
      <w:bookmarkEnd w:id="20"/>
      <w:bookmarkEnd w:id="21"/>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31.1</w:t>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 Jon Cohen, certify that:</w:t>
      </w:r>
    </w:p>
    <w:p>
      <w:pPr>
        <w:pStyle w:val="TextBody"/>
        <w:bidi w:val="0"/>
        <w:spacing w:before="240" w:after="0"/>
        <w:jc w:val="both"/>
        <w:rPr>
          <w:rFonts w:ascii="Times New Roman" w:hAnsi="Times New Roman"/>
          <w:b w:val="false"/>
          <w:sz w:val="20"/>
        </w:rPr>
      </w:pPr>
      <w:r>
        <w:rPr>
          <w:rFonts w:ascii="Times New Roman" w:hAnsi="Times New Roman"/>
          <w:b w:val="false"/>
          <w:sz w:val="20"/>
        </w:rPr>
        <w:t>1.</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 have reviewed this Quarterly Report on Form 10-Q of Talkspace, Inc.;</w:t>
      </w:r>
    </w:p>
    <w:p>
      <w:pPr>
        <w:pStyle w:val="TextBody"/>
        <w:bidi w:val="0"/>
        <w:spacing w:before="240" w:after="0"/>
        <w:jc w:val="both"/>
        <w:rPr>
          <w:rFonts w:ascii="Times New Roman" w:hAnsi="Times New Roman"/>
          <w:b w:val="false"/>
          <w:sz w:val="20"/>
        </w:rPr>
      </w:pPr>
      <w:r>
        <w:rPr>
          <w:rFonts w:ascii="Times New Roman" w:hAnsi="Times New Roman"/>
          <w:b w:val="false"/>
          <w:sz w:val="20"/>
        </w:rPr>
        <w:t>2.</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both"/>
        <w:rPr>
          <w:rFonts w:ascii="Times New Roman" w:hAnsi="Times New Roman"/>
          <w:b w:val="false"/>
          <w:sz w:val="20"/>
        </w:rPr>
      </w:pPr>
      <w:r>
        <w:rPr>
          <w:rFonts w:ascii="Times New Roman" w:hAnsi="Times New Roman"/>
          <w:b w:val="false"/>
          <w:sz w:val="20"/>
        </w:rPr>
        <w:t>3.</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both"/>
        <w:rPr>
          <w:rFonts w:ascii="Times New Roman" w:hAnsi="Times New Roman"/>
          <w:b w:val="false"/>
          <w:sz w:val="20"/>
        </w:rPr>
      </w:pPr>
      <w:r>
        <w:rPr>
          <w:rFonts w:ascii="Times New Roman" w:hAnsi="Times New Roman"/>
          <w:b w:val="false"/>
          <w:sz w:val="20"/>
        </w:rPr>
        <w:t>4.</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jc w:val="both"/>
        <w:rPr>
          <w:rFonts w:ascii="Times New Roman" w:hAnsi="Times New Roman"/>
          <w:b w:val="false"/>
          <w:sz w:val="20"/>
        </w:rPr>
      </w:pPr>
      <w:r>
        <w:rPr>
          <w:rFonts w:ascii="Times New Roman" w:hAnsi="Times New Roman"/>
          <w:b w:val="false"/>
          <w:sz w:val="20"/>
        </w:rPr>
        <w:t>(a)</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0"/>
        <w:jc w:val="both"/>
        <w:rPr>
          <w:rFonts w:ascii="Times New Roman" w:hAnsi="Times New Roman"/>
          <w:b w:val="false"/>
          <w:sz w:val="20"/>
        </w:rPr>
      </w:pPr>
      <w:r>
        <w:rPr>
          <w:rFonts w:ascii="Times New Roman" w:hAnsi="Times New Roman"/>
          <w:b w:val="false"/>
          <w:sz w:val="20"/>
        </w:rPr>
        <w:t>(b)</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0"/>
        <w:jc w:val="both"/>
        <w:rPr>
          <w:rFonts w:ascii="Times New Roman" w:hAnsi="Times New Roman"/>
          <w:b w:val="false"/>
          <w:sz w:val="20"/>
        </w:rPr>
      </w:pPr>
      <w:r>
        <w:rPr>
          <w:rFonts w:ascii="Times New Roman" w:hAnsi="Times New Roman"/>
          <w:b w:val="false"/>
          <w:sz w:val="20"/>
        </w:rPr>
        <w:t>(c)</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jc w:val="both"/>
        <w:rPr>
          <w:rFonts w:ascii="Times New Roman" w:hAnsi="Times New Roman"/>
          <w:b w:val="false"/>
          <w:sz w:val="20"/>
        </w:rPr>
      </w:pPr>
      <w:r>
        <w:rPr>
          <w:rFonts w:ascii="Times New Roman" w:hAnsi="Times New Roman"/>
          <w:b w:val="false"/>
          <w:sz w:val="20"/>
        </w:rPr>
        <w:t>(d)</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both"/>
        <w:rPr>
          <w:rFonts w:ascii="Times New Roman" w:hAnsi="Times New Roman"/>
          <w:b w:val="false"/>
          <w:sz w:val="20"/>
        </w:rPr>
      </w:pPr>
      <w:r>
        <w:rPr>
          <w:rFonts w:ascii="Times New Roman" w:hAnsi="Times New Roman"/>
          <w:b w:val="false"/>
          <w:sz w:val="20"/>
        </w:rPr>
        <w:t>5.</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jc w:val="both"/>
        <w:rPr>
          <w:rFonts w:ascii="Times New Roman" w:hAnsi="Times New Roman"/>
          <w:b w:val="false"/>
          <w:sz w:val="20"/>
        </w:rPr>
      </w:pPr>
      <w:r>
        <w:rPr>
          <w:rFonts w:ascii="Times New Roman" w:hAnsi="Times New Roman"/>
          <w:b w:val="false"/>
          <w:sz w:val="20"/>
        </w:rPr>
        <w:t>(a)</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jc w:val="both"/>
        <w:rPr>
          <w:rFonts w:ascii="Times New Roman" w:hAnsi="Times New Roman"/>
          <w:b w:val="false"/>
          <w:sz w:val="20"/>
        </w:rPr>
      </w:pPr>
      <w:r>
        <w:rPr>
          <w:rFonts w:ascii="Times New Roman" w:hAnsi="Times New Roman"/>
          <w:b w:val="false"/>
          <w:sz w:val="20"/>
        </w:rPr>
        <w:t>(b)</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4432" w:type="dxa"/>
        <w:jc w:val="left"/>
        <w:tblInd w:w="0" w:type="dxa"/>
        <w:tblLayout w:type="fixed"/>
        <w:tblCellMar>
          <w:top w:w="28" w:type="dxa"/>
          <w:left w:w="28" w:type="dxa"/>
          <w:bottom w:w="28" w:type="dxa"/>
          <w:right w:w="28" w:type="dxa"/>
        </w:tblCellMar>
      </w:tblPr>
      <w:tblGrid>
        <w:gridCol w:w="1846"/>
        <w:gridCol w:w="109"/>
        <w:gridCol w:w="406"/>
        <w:gridCol w:w="207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2,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07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Jon Cohen</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Jon Cohen</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2" w:name="talk-ex31_2.htm"/>
      <w:bookmarkStart w:id="23" w:name="kstalkex31_2"/>
      <w:bookmarkEnd w:id="22"/>
      <w:bookmarkEnd w:id="23"/>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31.2</w:t>
      </w:r>
    </w:p>
    <w:p>
      <w:pPr>
        <w:pStyle w:val="TextBody"/>
        <w:bidi w:val="0"/>
        <w:spacing w:before="360" w:after="0"/>
        <w:jc w:val="center"/>
        <w:rPr>
          <w:rFonts w:ascii="Times New Roman" w:hAnsi="Times New Roman"/>
          <w:sz w:val="20"/>
        </w:rPr>
      </w:pPr>
      <w:r>
        <w:rPr>
          <w:rFonts w:ascii="Times New Roman;serif" w:hAnsi="Times New Roman;serif"/>
          <w:b/>
          <w:sz w:val="20"/>
        </w:rPr>
        <w:t>CERTIFICATION</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Jennifer Fulk, certify that:</w:t>
      </w:r>
    </w:p>
    <w:p>
      <w:pPr>
        <w:pStyle w:val="TextBody"/>
        <w:bidi w:val="0"/>
        <w:spacing w:before="240" w:after="0"/>
        <w:jc w:val="both"/>
        <w:rPr>
          <w:rFonts w:ascii="Times New Roman" w:hAnsi="Times New Roman"/>
          <w:b w:val="false"/>
          <w:sz w:val="20"/>
        </w:rPr>
      </w:pPr>
      <w:r>
        <w:rPr>
          <w:rFonts w:ascii="Times New Roman" w:hAnsi="Times New Roman"/>
          <w:b w:val="false"/>
          <w:sz w:val="20"/>
        </w:rPr>
        <w:t>1.</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 have reviewed this Quarterly Report on Form 10-Q of Talkspace, Inc.;</w:t>
      </w:r>
    </w:p>
    <w:p>
      <w:pPr>
        <w:pStyle w:val="TextBody"/>
        <w:bidi w:val="0"/>
        <w:spacing w:before="240" w:after="0"/>
        <w:jc w:val="both"/>
        <w:rPr>
          <w:rFonts w:ascii="Times New Roman" w:hAnsi="Times New Roman"/>
          <w:b w:val="false"/>
          <w:sz w:val="20"/>
        </w:rPr>
      </w:pPr>
      <w:r>
        <w:rPr>
          <w:rFonts w:ascii="Times New Roman" w:hAnsi="Times New Roman"/>
          <w:b w:val="false"/>
          <w:sz w:val="20"/>
        </w:rPr>
        <w:t>2.</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both"/>
        <w:rPr>
          <w:rFonts w:ascii="Times New Roman" w:hAnsi="Times New Roman"/>
          <w:b w:val="false"/>
          <w:sz w:val="20"/>
        </w:rPr>
      </w:pPr>
      <w:r>
        <w:rPr>
          <w:rFonts w:ascii="Times New Roman" w:hAnsi="Times New Roman"/>
          <w:b w:val="false"/>
          <w:sz w:val="20"/>
        </w:rPr>
        <w:t>3.</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both"/>
        <w:rPr>
          <w:rFonts w:ascii="Times New Roman" w:hAnsi="Times New Roman"/>
          <w:b w:val="false"/>
          <w:sz w:val="20"/>
        </w:rPr>
      </w:pPr>
      <w:r>
        <w:rPr>
          <w:rFonts w:ascii="Times New Roman" w:hAnsi="Times New Roman"/>
          <w:b w:val="false"/>
          <w:sz w:val="20"/>
        </w:rPr>
        <w:t>4.</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jc w:val="both"/>
        <w:rPr>
          <w:rFonts w:ascii="Times New Roman" w:hAnsi="Times New Roman"/>
          <w:b w:val="false"/>
          <w:sz w:val="20"/>
        </w:rPr>
      </w:pPr>
      <w:r>
        <w:rPr>
          <w:rFonts w:ascii="Times New Roman" w:hAnsi="Times New Roman"/>
          <w:b w:val="false"/>
          <w:sz w:val="20"/>
        </w:rPr>
        <w:t>(a)</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0"/>
        <w:jc w:val="both"/>
        <w:rPr>
          <w:rFonts w:ascii="Times New Roman" w:hAnsi="Times New Roman"/>
          <w:b w:val="false"/>
          <w:sz w:val="20"/>
        </w:rPr>
      </w:pPr>
      <w:r>
        <w:rPr>
          <w:rFonts w:ascii="Times New Roman" w:hAnsi="Times New Roman"/>
          <w:b w:val="false"/>
          <w:sz w:val="20"/>
        </w:rPr>
        <w:t>(b)</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0"/>
        <w:jc w:val="both"/>
        <w:rPr>
          <w:rFonts w:ascii="Times New Roman" w:hAnsi="Times New Roman"/>
          <w:b w:val="false"/>
          <w:sz w:val="20"/>
        </w:rPr>
      </w:pPr>
      <w:r>
        <w:rPr>
          <w:rFonts w:ascii="Times New Roman" w:hAnsi="Times New Roman"/>
          <w:b w:val="false"/>
          <w:sz w:val="20"/>
        </w:rPr>
        <w:t>(c)</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jc w:val="both"/>
        <w:rPr>
          <w:rFonts w:ascii="Times New Roman" w:hAnsi="Times New Roman"/>
          <w:b w:val="false"/>
          <w:sz w:val="20"/>
        </w:rPr>
      </w:pPr>
      <w:r>
        <w:rPr>
          <w:rFonts w:ascii="Times New Roman" w:hAnsi="Times New Roman"/>
          <w:b w:val="false"/>
          <w:sz w:val="20"/>
        </w:rPr>
        <w:t>(d)</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both"/>
        <w:rPr>
          <w:rFonts w:ascii="Times New Roman" w:hAnsi="Times New Roman"/>
          <w:b w:val="false"/>
          <w:sz w:val="20"/>
        </w:rPr>
      </w:pPr>
      <w:r>
        <w:rPr>
          <w:rFonts w:ascii="Times New Roman" w:hAnsi="Times New Roman"/>
          <w:b w:val="false"/>
          <w:sz w:val="20"/>
        </w:rPr>
        <w:t>5.</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jc w:val="both"/>
        <w:rPr>
          <w:rFonts w:ascii="Times New Roman" w:hAnsi="Times New Roman"/>
          <w:b w:val="false"/>
          <w:sz w:val="20"/>
        </w:rPr>
      </w:pPr>
      <w:r>
        <w:rPr>
          <w:rFonts w:ascii="Times New Roman" w:hAnsi="Times New Roman"/>
          <w:b w:val="false"/>
          <w:sz w:val="20"/>
        </w:rPr>
        <w:t>(a)</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jc w:val="both"/>
        <w:rPr>
          <w:rFonts w:ascii="Times New Roman" w:hAnsi="Times New Roman"/>
          <w:b w:val="false"/>
          <w:sz w:val="20"/>
        </w:rPr>
      </w:pPr>
      <w:r>
        <w:rPr>
          <w:rFonts w:ascii="Times New Roman" w:hAnsi="Times New Roman"/>
          <w:b w:val="false"/>
          <w:sz w:val="20"/>
        </w:rPr>
        <w:t>(b)</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4372" w:type="dxa"/>
        <w:jc w:val="left"/>
        <w:tblInd w:w="0" w:type="dxa"/>
        <w:tblLayout w:type="fixed"/>
        <w:tblCellMar>
          <w:top w:w="28" w:type="dxa"/>
          <w:left w:w="28" w:type="dxa"/>
          <w:bottom w:w="28" w:type="dxa"/>
          <w:right w:w="28" w:type="dxa"/>
        </w:tblCellMar>
      </w:tblPr>
      <w:tblGrid>
        <w:gridCol w:w="1846"/>
        <w:gridCol w:w="109"/>
        <w:gridCol w:w="406"/>
        <w:gridCol w:w="201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2,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01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Jennifer Fulk</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Jennifer Fulk</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4" w:name="talk-ex32_1.htm"/>
      <w:bookmarkStart w:id="25" w:name="kstalkex32_1"/>
      <w:bookmarkEnd w:id="24"/>
      <w:bookmarkEnd w:id="25"/>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32.1</w:t>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connection with the Quarterly Report on Form 10-Q of Talkspace, Inc. (the “Company”) for the period ended June 30, 2023 as filed with the Securities and Exchange Commission on the date hereof (the “Report”), I certify, pursuant to 18 U.S.C. § 1350, as adopted pursuant to § 906 of the Sarbanes-Oxley Act of 2002, that: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(1) The Report fully complies with the requirements of section 13(a) or 15(d) of the Securities Exchange Act of 1934; and</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(2) The information contained in the Report fairly presents, in all material respects, the financial condition and results of operations of the Company.</w:t>
      </w:r>
    </w:p>
    <w:p>
      <w:pPr>
        <w:pStyle w:val="TextBody"/>
        <w:bidi w:val="0"/>
        <w:spacing w:before="0" w:after="0"/>
        <w:jc w:val="left"/>
        <w:rPr/>
      </w:pPr>
      <w:r>
        <w:rPr/>
        <w:t> </w:t>
      </w:r>
    </w:p>
    <w:tbl>
      <w:tblPr>
        <w:tblW w:w="4432" w:type="dxa"/>
        <w:jc w:val="left"/>
        <w:tblInd w:w="0" w:type="dxa"/>
        <w:tblLayout w:type="fixed"/>
        <w:tblCellMar>
          <w:top w:w="28" w:type="dxa"/>
          <w:left w:w="28" w:type="dxa"/>
          <w:bottom w:w="28" w:type="dxa"/>
          <w:right w:w="28" w:type="dxa"/>
        </w:tblCellMar>
      </w:tblPr>
      <w:tblGrid>
        <w:gridCol w:w="1846"/>
        <w:gridCol w:w="109"/>
        <w:gridCol w:w="406"/>
        <w:gridCol w:w="207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2,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07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Jon Cohen</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Jon Cohen</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6" w:name="talk-ex32_2.htm"/>
      <w:bookmarkStart w:id="27" w:name="kstalkex32_2"/>
      <w:bookmarkEnd w:id="26"/>
      <w:bookmarkEnd w:id="27"/>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32.2</w:t>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connection with the Quarterly Report on Form 10-Q of Talkspace, Inc. (the “Company”) for the period ended June 30, 2023 as filed with the Securities and Exchange Commission on the date hereof (the “Report”), I certify, pursuant to 18 U.S.C. § 1350, as adopted pursuant to § 906 of the Sarbanes-Oxley Act of 2002, that: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(1) The Report fully complies with the requirements of section 13(a) or 15(d) of the Securities Exchange Act of 1934; and</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(2) The information contained in the Report fairly presents, in all material respects, the financial condition and results of operations of the Company.</w:t>
      </w:r>
    </w:p>
    <w:p>
      <w:pPr>
        <w:pStyle w:val="TextBody"/>
        <w:bidi w:val="0"/>
        <w:spacing w:before="0" w:after="0"/>
        <w:jc w:val="left"/>
        <w:rPr/>
      </w:pPr>
      <w:r>
        <w:rPr/>
        <w:t> </w:t>
      </w:r>
    </w:p>
    <w:tbl>
      <w:tblPr>
        <w:tblW w:w="4372" w:type="dxa"/>
        <w:jc w:val="left"/>
        <w:tblInd w:w="0" w:type="dxa"/>
        <w:tblLayout w:type="fixed"/>
        <w:tblCellMar>
          <w:top w:w="28" w:type="dxa"/>
          <w:left w:w="28" w:type="dxa"/>
          <w:bottom w:w="28" w:type="dxa"/>
          <w:right w:w="28" w:type="dxa"/>
        </w:tblCellMar>
      </w:tblPr>
      <w:tblGrid>
        <w:gridCol w:w="1846"/>
        <w:gridCol w:w="109"/>
        <w:gridCol w:w="406"/>
        <w:gridCol w:w="201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2,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01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Jennifer Fulk</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Jennifer Fulk</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bl>
    <w:p>
      <w:pPr>
        <w:pStyle w:val="TextBody"/>
        <w:bidi w:val="0"/>
        <w:spacing w:before="24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13443</Words>
  <Characters>74454</Characters>
  <CharactersWithSpaces>88237</CharactersWithSpaces>
  <Paragraphs>3255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