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65"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3820160</wp:posOffset>
            </wp:positionH>
            <wp:positionV relativeFrom="paragraph">
              <wp:posOffset>-5080</wp:posOffset>
            </wp:positionV>
            <wp:extent cx="428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TALKSPACE,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ind w:left="244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84-4636604</w:t>
      </w:r>
    </w:p>
    <w:p>
      <w:pPr>
        <w:sectPr>
          <w:pgSz w:w="11900" w:h="16838" w:orient="portrait"/>
          <w:cols w:equalWidth="0" w:num="1">
            <w:col w:w="11240"/>
          </w:cols>
          <w:pgMar w:left="320" w:top="882" w:right="339" w:bottom="1440" w:gutter="0" w:footer="0" w:header="0"/>
        </w:sectPr>
      </w:pP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622 Third Avenue, New York, New York</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35" w:lineRule="auto"/>
        <w:rPr>
          <w:sz w:val="20"/>
          <w:szCs w:val="20"/>
          <w:color w:val="auto"/>
        </w:rPr>
      </w:pPr>
      <w:r>
        <w:rPr>
          <w:rFonts w:ascii="Times New Roman" w:cs="Times New Roman" w:eastAsia="Times New Roman" w:hAnsi="Times New Roman"/>
          <w:sz w:val="14"/>
          <w:szCs w:val="14"/>
          <w:b w:val="1"/>
          <w:bCs w:val="1"/>
          <w:color w:val="auto"/>
        </w:rPr>
        <w:t>Identification No.)</w:t>
      </w:r>
    </w:p>
    <w:p>
      <w:pPr>
        <w:ind w:left="34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7" w:lineRule="exact"/>
        <w:rPr>
          <w:sz w:val="24"/>
          <w:szCs w:val="24"/>
          <w:color w:val="auto"/>
        </w:rPr>
      </w:pPr>
    </w:p>
    <w:p>
      <w:pPr>
        <w:sectPr>
          <w:pgSz w:w="11900" w:h="16838" w:orient="portrait"/>
          <w:cols w:equalWidth="0" w:num="2">
            <w:col w:w="7140" w:space="720"/>
            <w:col w:w="3380"/>
          </w:cols>
          <w:pgMar w:left="320" w:top="882" w:right="339" w:bottom="1440" w:gutter="0" w:footer="0" w:header="0"/>
          <w:type w:val="continuous"/>
        </w:sect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284-7206</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2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TALK</w:t>
            </w:r>
          </w:p>
        </w:tc>
        <w:tc>
          <w:tcPr>
            <w:tcW w:w="120" w:type="dxa"/>
            <w:vAlign w:val="bottom"/>
          </w:tcPr>
          <w:p>
            <w:pPr>
              <w:spacing w:after="0"/>
              <w:rPr>
                <w:sz w:val="15"/>
                <w:szCs w:val="15"/>
                <w:color w:val="auto"/>
              </w:rPr>
            </w:pPr>
          </w:p>
        </w:tc>
        <w:tc>
          <w:tcPr>
            <w:tcW w:w="5040" w:type="dxa"/>
            <w:vAlign w:val="bottom"/>
          </w:tcPr>
          <w:p>
            <w:pPr>
              <w:ind w:left="1720"/>
              <w:spacing w:after="0" w:line="181" w:lineRule="exact"/>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TALKW</w:t>
            </w:r>
          </w:p>
        </w:tc>
        <w:tc>
          <w:tcPr>
            <w:tcW w:w="120" w:type="dxa"/>
            <w:vAlign w:val="bottom"/>
          </w:tcPr>
          <w:p>
            <w:pPr>
              <w:spacing w:after="0"/>
              <w:rPr>
                <w:sz w:val="18"/>
                <w:szCs w:val="18"/>
                <w:color w:val="auto"/>
              </w:rPr>
            </w:pPr>
          </w:p>
        </w:tc>
        <w:tc>
          <w:tcPr>
            <w:tcW w:w="504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November 4, 2025, the registrant had 165,656,124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160" w:type="dxa"/>
            <w:vAlign w:val="bottom"/>
            <w:gridSpan w:val="2"/>
            <w:vMerge w:val="continue"/>
          </w:tcPr>
          <w:p>
            <w:pPr>
              <w:spacing w:after="0"/>
              <w:rPr>
                <w:sz w:val="16"/>
                <w:szCs w:val="16"/>
                <w:color w:val="auto"/>
              </w:rPr>
            </w:pPr>
          </w:p>
        </w:tc>
        <w:tc>
          <w:tcPr>
            <w:tcW w:w="9300" w:type="dxa"/>
            <w:vAlign w:val="bottom"/>
            <w:gridSpan w:val="17"/>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2025 (unaudited) and December 31,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Income Statements (unaudited) for the three and nine months ended September 30, 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 for the three and nine months ended 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(unaudited) for the three and nine months ended 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nine months ended September 30, 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960" w:type="dxa"/>
            <w:vAlign w:val="bottom"/>
            <w:tcBorders>
              <w:left w:val="single" w:sz="8" w:color="0000FF"/>
            </w:tcBorders>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60" w:type="dxa"/>
            <w:vAlign w:val="bottom"/>
            <w:gridSpan w:val="2"/>
            <w:vMerge w:val="continue"/>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40" w:type="dxa"/>
            <w:vAlign w:val="bottom"/>
            <w:gridSpan w:val="7"/>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114,480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130,182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9"/>
              </w:rPr>
              <w:t>Total assets</w:t>
            </w:r>
          </w:p>
        </w:tc>
        <w:tc>
          <w:tcPr>
            <w:tcW w:w="6780" w:type="dxa"/>
            <w:vAlign w:val="bottom"/>
            <w:gridSpan w:val="6"/>
            <w:shd w:val="clear" w:color="auto" w:fill="CFF0FC"/>
          </w:tcPr>
          <w:p>
            <w:pPr>
              <w:spacing w:after="0"/>
              <w:rPr>
                <w:sz w:val="21"/>
                <w:szCs w:val="21"/>
                <w:color w:val="auto"/>
              </w:rPr>
            </w:pP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129,060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138,677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gridSpan w:val="7"/>
          </w:tcPr>
          <w:p>
            <w:pPr>
              <w:spacing w:after="0" w:line="183"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Total current liabilities</w:t>
            </w:r>
          </w:p>
        </w:tc>
        <w:tc>
          <w:tcPr>
            <w:tcW w:w="5980" w:type="dxa"/>
            <w:vAlign w:val="bottom"/>
            <w:tcBorders>
              <w:bottom w:val="single" w:sz="8" w:color="CFF0FC"/>
            </w:tcBorders>
            <w:gridSpan w:val="3"/>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19,378</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19,023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40" w:type="dxa"/>
            <w:vAlign w:val="bottom"/>
            <w:gridSpan w:val="7"/>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19,955</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21,282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40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4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Common stock of $0.0001 par value per share: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authorized: 1,000,000,000 as of September 30, 2025 (unaudited) and December 31, 2024;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issued and outstanding: 165,105,058 and 168,849,591 as of September 30, 2025 (unaudited) and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375,235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(266,208)</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(269,236)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109,105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117,395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920" w:type="dxa"/>
            <w:vAlign w:val="bottom"/>
            <w:gridSpan w:val="6"/>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9"/>
              </w:rPr>
              <w:t>Total liabilities and stockholders’ equity</w:t>
            </w:r>
          </w:p>
        </w:tc>
        <w:tc>
          <w:tcPr>
            <w:tcW w:w="47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129,060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138,677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CFF0FC"/>
          </w:tcPr>
          <w:p>
            <w:pPr>
              <w:spacing w:after="0" w:line="20" w:lineRule="exact"/>
              <w:rPr>
                <w:sz w:val="1"/>
                <w:szCs w:val="1"/>
                <w:color w:val="auto"/>
              </w:rPr>
            </w:pPr>
          </w:p>
        </w:tc>
        <w:tc>
          <w:tcPr>
            <w:tcW w:w="4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-3282315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-2708275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-2691130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-1851025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-1559560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8"/>
        <w:spacing w:after="0" w:line="236"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Talkspace, Inc's condensed consolidated balance sheets include assets of consolidated variable interest entities (“VIEs”) that can only be used to settle obligations of these VIEs and liabilities of consolidated VIEs for which creditors may have recourse to Talkspace, Inc. or its affiliates. At September 30, 2025 and December 31, 2024, assets of these consolidated VIEs totaled $12,893 and $6,875, respectively. At September 30, 2025 and December 31, 2024, liabilities of these consolidated VIEs totaled $3,663 and $2,528, respectively. See Note 11, “Variable Interest Entities,” in the notes to the condensed consolidated financial statements for further details.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80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9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165,873</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excluding depreciation</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amortization</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94,447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operations, net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166,550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(1,078)</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(5,123)</w:t>
            </w:r>
          </w:p>
        </w:tc>
        <w:tc>
          <w:tcPr>
            <w:tcW w:w="0" w:type="dxa"/>
            <w:vAlign w:val="bottom"/>
          </w:tcPr>
          <w:p>
            <w:pPr>
              <w:spacing w:after="0"/>
              <w:rPr>
                <w:sz w:val="1"/>
                <w:szCs w:val="1"/>
                <w:color w:val="auto"/>
              </w:rPr>
            </w:pPr>
          </w:p>
        </w:tc>
      </w:tr>
      <w:tr>
        <w:trPr>
          <w:trHeight w:val="210"/>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Pr>
          <w:p>
            <w:pPr>
              <w:spacing w:after="0"/>
              <w:rPr>
                <w:sz w:val="18"/>
                <w:szCs w:val="18"/>
                <w:color w:val="auto"/>
              </w:rPr>
            </w:pPr>
          </w:p>
        </w:tc>
        <w:tc>
          <w:tcPr>
            <w:tcW w:w="5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Basic</w:t>
            </w:r>
          </w:p>
        </w:tc>
        <w:tc>
          <w:tcPr>
            <w:tcW w:w="280" w:type="dxa"/>
            <w:vAlign w:val="bottom"/>
            <w:shd w:val="clear" w:color="auto" w:fill="C8EDF8"/>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8EDF8"/>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8EDF8"/>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8EDF8"/>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8EDF8"/>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8EDF8"/>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8EDF8"/>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8EDF8"/>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8EDF8"/>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4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to compute net income (loss) per</w:t>
            </w:r>
          </w:p>
        </w:tc>
        <w:tc>
          <w:tcPr>
            <w:tcW w:w="280" w:type="dxa"/>
            <w:vAlign w:val="bottom"/>
            <w:shd w:val="clear" w:color="auto" w:fill="C8EDF8"/>
          </w:tcPr>
          <w:p>
            <w:pPr>
              <w:spacing w:after="0"/>
              <w:rPr>
                <w:sz w:val="17"/>
                <w:szCs w:val="17"/>
                <w:color w:val="auto"/>
              </w:rPr>
            </w:pPr>
          </w:p>
        </w:tc>
        <w:tc>
          <w:tcPr>
            <w:tcW w:w="1100" w:type="dxa"/>
            <w:vAlign w:val="bottom"/>
            <w:shd w:val="clear" w:color="auto" w:fill="C8EDF8"/>
          </w:tcPr>
          <w:p>
            <w:pPr>
              <w:spacing w:after="0"/>
              <w:rPr>
                <w:sz w:val="17"/>
                <w:szCs w:val="17"/>
                <w:color w:val="auto"/>
              </w:rPr>
            </w:pPr>
          </w:p>
        </w:tc>
        <w:tc>
          <w:tcPr>
            <w:tcW w:w="100" w:type="dxa"/>
            <w:vAlign w:val="bottom"/>
            <w:shd w:val="clear" w:color="auto" w:fill="C8EDF8"/>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shd w:val="clear" w:color="auto" w:fill="C8EDF8"/>
          </w:tcPr>
          <w:p>
            <w:pPr>
              <w:spacing w:after="0"/>
              <w:rPr>
                <w:sz w:val="20"/>
                <w:szCs w:val="20"/>
                <w:color w:val="auto"/>
              </w:rPr>
            </w:pPr>
          </w:p>
        </w:tc>
        <w:tc>
          <w:tcPr>
            <w:tcW w:w="1100" w:type="dxa"/>
            <w:vAlign w:val="bottom"/>
            <w:shd w:val="clear" w:color="auto" w:fill="C8EDF8"/>
          </w:tcPr>
          <w:p>
            <w:pPr>
              <w:spacing w:after="0"/>
              <w:rPr>
                <w:sz w:val="20"/>
                <w:szCs w:val="20"/>
                <w:color w:val="auto"/>
              </w:rPr>
            </w:pPr>
          </w:p>
        </w:tc>
        <w:tc>
          <w:tcPr>
            <w:tcW w:w="100" w:type="dxa"/>
            <w:vAlign w:val="bottom"/>
            <w:shd w:val="clear" w:color="auto" w:fill="C8EDF8"/>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166,190,495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168,426,349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167,455,607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168,805,882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Diluted</w:t>
            </w:r>
          </w:p>
        </w:tc>
        <w:tc>
          <w:tcPr>
            <w:tcW w:w="280" w:type="dxa"/>
            <w:vAlign w:val="bottom"/>
            <w:shd w:val="clear" w:color="auto" w:fill="C8EDF8"/>
          </w:tcPr>
          <w:p>
            <w:pPr>
              <w:spacing w:after="0"/>
              <w:rPr>
                <w:sz w:val="18"/>
                <w:szCs w:val="18"/>
                <w:color w:val="auto"/>
              </w:rPr>
            </w:pPr>
          </w:p>
        </w:tc>
        <w:tc>
          <w:tcPr>
            <w:tcW w:w="1100" w:type="dxa"/>
            <w:vAlign w:val="bottom"/>
            <w:shd w:val="clear" w:color="auto" w:fill="C8EDF8"/>
          </w:tcPr>
          <w:p>
            <w:pPr>
              <w:jc w:val="right"/>
              <w:spacing w:after="0"/>
              <w:rPr>
                <w:sz w:val="20"/>
                <w:szCs w:val="20"/>
                <w:color w:val="auto"/>
              </w:rPr>
            </w:pPr>
            <w:r>
              <w:rPr>
                <w:rFonts w:ascii="Times New Roman" w:cs="Times New Roman" w:eastAsia="Times New Roman" w:hAnsi="Times New Roman"/>
                <w:sz w:val="18"/>
                <w:szCs w:val="18"/>
                <w:color w:val="auto"/>
              </w:rPr>
              <w:t>171,462,202</w:t>
            </w:r>
          </w:p>
        </w:tc>
        <w:tc>
          <w:tcPr>
            <w:tcW w:w="100" w:type="dxa"/>
            <w:vAlign w:val="bottom"/>
            <w:shd w:val="clear" w:color="auto" w:fill="C8EDF8"/>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173,753,763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174,009,390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168,805,882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-1833880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-1833880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-1833880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-1551305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-1551305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-1551305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-1268095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-1268095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-1268095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7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unrealized gain on marketable debt securities</w:t>
            </w:r>
          </w:p>
        </w:tc>
        <w:tc>
          <w:tcPr>
            <w:tcW w:w="3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7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-316230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-316230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-316230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-25400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(U.S. dollars in thousands, except share data)</w:t>
            </w:r>
          </w:p>
        </w:tc>
        <w:tc>
          <w:tcPr>
            <w:tcW w:w="216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0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Three and Nine Months Ended September 30, 2025</w:t>
            </w:r>
          </w:p>
        </w:tc>
        <w:tc>
          <w:tcPr>
            <w:tcW w:w="9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as of December 31, 2024</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168,849,591</w:t>
            </w: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386,612</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(269,236)</w:t>
            </w: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117,395</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1,010,942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678</w:t>
            </w: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vested, net of tax</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515,033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(571)</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(571)</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Repurchase of common stock for retirement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(2,519,170)</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(6,975)</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(6,975)</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2,548</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318</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318</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Balance as of March 31, 2025 (unaudited)</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167,856,396</w:t>
            </w:r>
          </w:p>
        </w:tc>
        <w:tc>
          <w:tcPr>
            <w:tcW w:w="120" w:type="dxa"/>
            <w:vAlign w:val="bottom"/>
          </w:tcPr>
          <w:p>
            <w:pPr>
              <w:spacing w:after="0"/>
              <w:rPr>
                <w:sz w:val="12"/>
                <w:szCs w:val="12"/>
                <w:color w:val="auto"/>
              </w:rPr>
            </w:pPr>
          </w:p>
        </w:tc>
        <w:tc>
          <w:tcPr>
            <w:tcW w:w="920" w:type="dxa"/>
            <w:vAlign w:val="bottom"/>
            <w:gridSpan w:val="2"/>
          </w:tcPr>
          <w:p>
            <w:pPr>
              <w:jc w:val="right"/>
              <w:ind w:right="6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382,292</w:t>
            </w: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(268,918)</w:t>
            </w: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113,418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Exercise of stock options</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28,602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49</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Restricted stock units vested,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600,458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(1,126)</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(1,126)</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Repurchase of common stock for retirement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(541,268)</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(1,429)</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(1,429)</w:t>
            </w: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2,578</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(541)</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as of June 30, 2025 (unaudited)</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167,944,188</w:t>
            </w: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382,364</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(269,459)</w:t>
            </w: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112,941</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Exercise of stock options</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94,717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vested, net of tax</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582,830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(457)</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Repurchase of common stock for retirement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(3,516,677)</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(8,885)</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(8,885)</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2,078</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3,251</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3,251</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Balance as of September 30, 2025 (unaudited)</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165,105,058</w:t>
            </w:r>
          </w:p>
        </w:tc>
        <w:tc>
          <w:tcPr>
            <w:tcW w:w="120" w:type="dxa"/>
            <w:vAlign w:val="bottom"/>
          </w:tcPr>
          <w:p>
            <w:pPr>
              <w:spacing w:after="0"/>
              <w:rPr>
                <w:sz w:val="12"/>
                <w:szCs w:val="12"/>
                <w:color w:val="auto"/>
              </w:rPr>
            </w:pPr>
          </w:p>
        </w:tc>
        <w:tc>
          <w:tcPr>
            <w:tcW w:w="920" w:type="dxa"/>
            <w:vAlign w:val="bottom"/>
            <w:gridSpan w:val="2"/>
          </w:tcPr>
          <w:p>
            <w:pPr>
              <w:jc w:val="right"/>
              <w:ind w:right="6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375,235</w:t>
            </w: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(266,208)</w:t>
            </w: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109,105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6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0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Three and Nine Months Ended September 30, 2024</w:t>
            </w:r>
          </w:p>
        </w:tc>
        <w:tc>
          <w:tcPr>
            <w:tcW w:w="9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168,428,856</w:t>
            </w: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16</w:t>
            </w: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389,014</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(270,384)</w:t>
            </w: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118,646</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741</w:t>
            </w: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vested, net of tax</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534,654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(595)</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(595)</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2,252</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(1,466)</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(1,466)</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Balance as of March 31, 2024 (unaudited)</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169,569,075</w:t>
            </w:r>
          </w:p>
        </w:tc>
        <w:tc>
          <w:tcPr>
            <w:tcW w:w="120" w:type="dxa"/>
            <w:vAlign w:val="bottom"/>
          </w:tcPr>
          <w:p>
            <w:pPr>
              <w:spacing w:after="0"/>
              <w:rPr>
                <w:sz w:val="12"/>
                <w:szCs w:val="12"/>
                <w:color w:val="auto"/>
              </w:rPr>
            </w:pPr>
          </w:p>
        </w:tc>
        <w:tc>
          <w:tcPr>
            <w:tcW w:w="920" w:type="dxa"/>
            <w:vAlign w:val="bottom"/>
            <w:gridSpan w:val="2"/>
          </w:tcPr>
          <w:p>
            <w:pPr>
              <w:jc w:val="right"/>
              <w:ind w:right="6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16</w:t>
            </w: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391,412</w:t>
            </w: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(271,850)</w:t>
            </w: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119,578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Exercise of stock options</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697,798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843</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843</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Restricted stock units vested,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851,177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(1,248)</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(1,248)</w:t>
            </w: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Repurchase of common stock for retirement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(2,948,892)</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(8,004)</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(8,004)</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3,349</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(474)</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(474)</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Balance as of June 30, 2024 (unaudited)</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168,169,158</w:t>
            </w:r>
          </w:p>
        </w:tc>
        <w:tc>
          <w:tcPr>
            <w:tcW w:w="120" w:type="dxa"/>
            <w:vAlign w:val="bottom"/>
          </w:tcPr>
          <w:p>
            <w:pPr>
              <w:spacing w:after="0"/>
              <w:rPr>
                <w:sz w:val="12"/>
                <w:szCs w:val="12"/>
                <w:color w:val="auto"/>
              </w:rPr>
            </w:pPr>
          </w:p>
        </w:tc>
        <w:tc>
          <w:tcPr>
            <w:tcW w:w="920" w:type="dxa"/>
            <w:vAlign w:val="bottom"/>
            <w:gridSpan w:val="2"/>
          </w:tcPr>
          <w:p>
            <w:pPr>
              <w:jc w:val="right"/>
              <w:ind w:right="6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16</w:t>
            </w: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386,352</w:t>
            </w: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(272,324)</w:t>
            </w: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114,044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Exercise of stock options</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45,761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Restricted stock units vested,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609,539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(469)</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2,106</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1,874</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1,874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9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as of September 30, 2024 (unaudited)</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168,824,458</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388,021</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(270,450)</w:t>
            </w: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117,588</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-3736975</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-3736975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-3736975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-3736975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-3736975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-2957195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-2957195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-2957195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-2957195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-2957195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-2957195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-2382520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-2382520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-2382520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-2382520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-2382520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-1199515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-1199515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-1199515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-1199515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-1199515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-616585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-616585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-616585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-616585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-616585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Represents an amount lower than $1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Borders>
              <w:bottom w:val="single" w:sz="8" w:color="auto"/>
            </w:tcBorders>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flows from operating activities:</w:t>
            </w:r>
          </w:p>
        </w:tc>
        <w:tc>
          <w:tcPr>
            <w:tcW w:w="48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60" w:type="dxa"/>
            <w:vAlign w:val="bottom"/>
          </w:tcPr>
          <w:p>
            <w:pPr>
              <w:spacing w:after="0"/>
              <w:rPr>
                <w:sz w:val="18"/>
                <w:szCs w:val="18"/>
                <w:color w:val="auto"/>
              </w:rPr>
            </w:pP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other current assets</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deferred revenue</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Decrease in accrued expenses and other current liabilities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(5,220)</w:t>
            </w: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gridSpan w:val="6"/>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00" w:type="dxa"/>
            <w:vAlign w:val="bottom"/>
            <w:gridSpan w:val="6"/>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920" w:type="dxa"/>
            <w:vAlign w:val="bottom"/>
            <w:tcBorders>
              <w:top w:val="single" w:sz="8" w:color="CFF0FC"/>
            </w:tcBorders>
            <w:gridSpan w:val="3"/>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3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(32,655)</w:t>
            </w:r>
          </w:p>
        </w:tc>
        <w:tc>
          <w:tcPr>
            <w:tcW w:w="100" w:type="dxa"/>
            <w:vAlign w:val="bottom"/>
            <w:tcBorders>
              <w:top w:val="single" w:sz="8" w:color="CFF0FC"/>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4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(17,702)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(3,837)</w:t>
            </w:r>
          </w:p>
        </w:tc>
        <w:tc>
          <w:tcPr>
            <w:tcW w:w="0" w:type="dxa"/>
            <w:vAlign w:val="bottom"/>
          </w:tcPr>
          <w:p>
            <w:pPr>
              <w:spacing w:after="0"/>
              <w:rPr>
                <w:sz w:val="1"/>
                <w:szCs w:val="1"/>
                <w:color w:val="auto"/>
              </w:rPr>
            </w:pPr>
          </w:p>
        </w:tc>
      </w:tr>
      <w:tr>
        <w:trPr>
          <w:trHeight w:val="190"/>
        </w:trPr>
        <w:tc>
          <w:tcPr>
            <w:tcW w:w="282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flows from financing activities:</w:t>
            </w:r>
          </w:p>
        </w:tc>
        <w:tc>
          <w:tcPr>
            <w:tcW w:w="4880" w:type="dxa"/>
            <w:vAlign w:val="bottom"/>
            <w:tcBorders>
              <w:bottom w:val="single" w:sz="8" w:color="CFF0FC"/>
            </w:tcBorders>
            <w:gridSpan w:val="2"/>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CFF0FC"/>
            </w:tcBorders>
            <w:shd w:val="clear" w:color="auto" w:fill="CFF0FC"/>
          </w:tcPr>
          <w:p>
            <w:pPr>
              <w:spacing w:after="0"/>
              <w:rPr>
                <w:sz w:val="16"/>
                <w:szCs w:val="16"/>
                <w:color w:val="auto"/>
              </w:rPr>
            </w:pPr>
          </w:p>
        </w:tc>
        <w:tc>
          <w:tcPr>
            <w:tcW w:w="1160" w:type="dxa"/>
            <w:vAlign w:val="bottom"/>
            <w:tcBorders>
              <w:top w:val="single" w:sz="8" w:color="auto"/>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top w:val="single" w:sz="8" w:color="auto"/>
              <w:bottom w:val="single" w:sz="8" w:color="CFF0FC"/>
            </w:tcBorders>
            <w:shd w:val="clear" w:color="auto" w:fill="CFF0FC"/>
          </w:tcPr>
          <w:p>
            <w:pPr>
              <w:spacing w:after="0"/>
              <w:rPr>
                <w:sz w:val="16"/>
                <w:szCs w:val="16"/>
                <w:color w:val="auto"/>
              </w:rPr>
            </w:pPr>
          </w:p>
        </w:tc>
        <w:tc>
          <w:tcPr>
            <w:tcW w:w="9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(18,495)</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10"/>
        </w:trPr>
        <w:tc>
          <w:tcPr>
            <w:tcW w:w="1440" w:type="dxa"/>
            <w:vAlign w:val="bottom"/>
            <w:tcBorders>
              <w:top w:val="single" w:sz="8" w:color="CFF0FC"/>
            </w:tcBorders>
          </w:tcPr>
          <w:p>
            <w:pPr>
              <w:spacing w:after="0"/>
              <w:rPr>
                <w:sz w:val="18"/>
                <w:szCs w:val="18"/>
                <w:color w:val="auto"/>
              </w:rPr>
            </w:pPr>
          </w:p>
        </w:tc>
        <w:tc>
          <w:tcPr>
            <w:tcW w:w="70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8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43,653</w:t>
            </w:r>
          </w:p>
        </w:tc>
        <w:tc>
          <w:tcPr>
            <w:tcW w:w="1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44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64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48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00" w:type="dxa"/>
            <w:vAlign w:val="bottom"/>
            <w:gridSpan w:val="6"/>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 consolidated balance</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39,508</w:t>
            </w:r>
          </w:p>
        </w:tc>
        <w:tc>
          <w:tcPr>
            <w:tcW w:w="160" w:type="dxa"/>
            <w:vAlign w:val="bottom"/>
          </w:tcPr>
          <w:p>
            <w:pPr>
              <w:spacing w:after="0"/>
              <w:rPr>
                <w:sz w:val="18"/>
                <w:szCs w:val="18"/>
                <w:color w:val="auto"/>
              </w:rPr>
            </w:pP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43,653</w:t>
            </w:r>
          </w:p>
        </w:tc>
        <w:tc>
          <w:tcPr>
            <w:tcW w:w="160" w:type="dxa"/>
            <w:vAlign w:val="bottom"/>
          </w:tcPr>
          <w:p>
            <w:pPr>
              <w:spacing w:after="0"/>
              <w:rPr>
                <w:sz w:val="18"/>
                <w:szCs w:val="18"/>
                <w:color w:val="auto"/>
              </w:rPr>
            </w:pP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data:</w:t>
            </w: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0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7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Non-cash activities:</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capitalized as part of capitalization of internal-use software costs</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Liability incurred for repurchase of common stock</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-4097020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-3256915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-2407920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-1842135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-1824990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-1130935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its inception, the Company has connected millions of patients with licensed behavioral health providers across a wide and growing spectrum of care through virtual psychotherapy and psychiatry.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executive office is located in New York, NY. The Company has wholly-owned subsidiaries and holds a variable interest in professional associations and professional corporations, which have been established pursuant to the requirements of their respective domestic jurisdiction governing the corporate practice of medicine. These entities are considered Variable Interest Entities (“VIEs”). See Note 11, “Variable Interest Entities,” in the notes to the condensed consolidated financial statements for further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These condensed consolidated financial statements should be read in conjunction with the consolidated financial statements as of and for the year ended December 31, 2024, included in the Company's Annual Report on Form 10-K for the year ended December 31, 2024. The significant accounting policies applied in the annual consolidated financial statements of the Company as of December 31, 2024, have been applied consistently in these unaudited condensed consolidated financial statements, unless otherwise stated.</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consolidates all subsidiaries in which it has a controlling financial interest, as well as any VIEs where the Company is deemed to be the primary beneficiary. Intercompany transactions and balances have been eliminated in the preparation of the condensed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 The Company’s significant estimates and assumptions used in these condensed consolidated financial statements include, but are not limited to, the recognition of revenue, stock-based compensation awards and internal-use software costs.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period presentation. These reclassifications had no effect on the reported results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Segments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Talkspace provides virtual behavioral healthcare services through its online platform for one-on-one therapy delivered via  messaging, audio and video.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who manages the Company by reviewing consolidated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 operates as one operating and reportable segment.</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uses the Company’s consolidated net income to assess the financial performance of the Company and allocate resources. Since the Company operates in one operating segment, financial information, including consolidated net income information evaluated by the CODM, can be found in the condensed consolidated income statements.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assets are managed on a consolidated basis. For total asset information please refer to the condensed consolidated balance sheets included within the condensed consolidated financial statements. Most of the Company's long-lived tangible assets, as well as the Company's operating lease right-of-use asset, are located in the United States. Other financial information regarding the Company's operating segment is presented elsewhere in the condensed consolidated financial statements.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all of the Company’s revenue was generated from customers located in the United States. For the types of services from which the reportable segment derives its revenue refer to Note 3, “Revenue Recognition.”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Accounting Standards Update (“ASU”) issued by the Financial Accounting Standards Board (“FASB”) have been adopted by the Company: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to provide a more simplified and less forward-looking approach to estimating credit losses under the current expected credit loss (“CECL”) model. This guidance is effective for fiscal years beginning after December 15, 2025, and interim periods after December 15, 2025. The Company early adopted this ASU. The adoption of this ASU did not have a significant impact on its consolidated financial statements or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ASUs issued by the FASB have not yet been adopted by the Company: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Further, the ASU requires certain disclosures of state versus federal income tax expense and taxes paid. This ASU is effective for fiscal years beginning after December 15, 2024. The Company is currently evaluating the impact of adopting this ASU.</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Disaggregation of Income Statement Expenses, to improve the disclosures of a public business entity’s expenses and address requests from investors for more detailed information about the types of expenses in commonly presented expense captions. This guidance is effective for fiscal years beginning after December 15, 2026, and interim periods after December 15, 2027. Early adoption is permitted. The Company is currently evaluating the impact of adopting this ASU.</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Internal-Use Software (Subtopic 350-40): Targeted Improvements to the Accounting for Internal-Use Software, to improve the operability of the guidance by removing all references to software development project stages so that the guidance is neutral to different software development methods, including methods that entities may use to develop software in the future. This guidance is effective for fiscal years beginning after December 15, 2027, and interim periods after December 15, 2027. Early adoption is permitted. The Company is currently evaluating the impact of adopting this ASU.</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from sales to unaffiliated customers disaggregated by revenue source: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5"/>
                <w:szCs w:val="15"/>
                <w:color w:val="auto"/>
              </w:rPr>
            </w:pPr>
          </w:p>
        </w:tc>
        <w:tc>
          <w:tcPr>
            <w:tcW w:w="308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sales to unaffiliated customers:</w:t>
            </w:r>
          </w:p>
        </w:tc>
        <w:tc>
          <w:tcPr>
            <w:tcW w:w="280" w:type="dxa"/>
            <w:vAlign w:val="bottom"/>
          </w:tcPr>
          <w:p>
            <w:pPr>
              <w:spacing w:after="0"/>
              <w:rPr>
                <w:sz w:val="18"/>
                <w:szCs w:val="18"/>
                <w:color w:val="auto"/>
              </w:rPr>
            </w:pPr>
          </w:p>
        </w:tc>
        <w:tc>
          <w:tcPr>
            <w:tcW w:w="1300" w:type="dxa"/>
            <w:vAlign w:val="bottom"/>
          </w:tcPr>
          <w:p>
            <w:pPr>
              <w:jc w:val="right"/>
              <w:ind w:right="41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76"/>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7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Payor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45,512</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32,039</w:t>
            </w:r>
          </w:p>
        </w:tc>
        <w:tc>
          <w:tcPr>
            <w:tcW w:w="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123,855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DTE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47,399</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-170815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receivables related to revenue from Direct-to-Enterprise (“DTE”) customers of $5.4 million and $6.0 million at September 30, 2025 and December 31, 2024, respectively. As of September 30, 2025 and December 31, 2024, the balance of receivables related to revenue from Health insurance plans (commercial and government) and employee assistance programs (“Payor”) customers was $9.5 million and $3.6 million,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receivables are stated net of credit loss allowance. The Company’s methodology for estimating credit loss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The allowance for credit losses on accounts receivable was immaterial as of September 30, 2025 and December 31, 2024. Credit loss expense was immaterial for the three and nine months ended September 30,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when cash payments from customers are received in advance of the Company's performance obligation to provide services. As of September 30, 2025 and December 31, 2024, deferred revenue related mainly to individual subscribers (“Consumer”). The Company expects to satisfy the majority of its performance obligations associated with deferred revenue within one year or less. Revenue recognized in the nine months ended September 30, 2025 and 2024 that was included in the deferred revenue balance at the beginning of the reporting period was $2.1 million and $2.0 million, respectively.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marketable securities measured at fair value on a recurring basis as of September 30, 2025 and December 31, 2024: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Measurements as of September 30, 2025</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3"/>
                <w:szCs w:val="13"/>
                <w:i w:val="1"/>
                <w:iCs w:val="1"/>
                <w:color w:val="auto"/>
              </w:rPr>
              <w:t>Unaudited</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right="93"/>
              <w:spacing w:after="0" w:line="126" w:lineRule="exact"/>
              <w:rPr>
                <w:sz w:val="20"/>
                <w:szCs w:val="20"/>
                <w:color w:val="auto"/>
              </w:rPr>
            </w:pPr>
            <w:r>
              <w:rPr>
                <w:rFonts w:ascii="Times New Roman" w:cs="Times New Roman" w:eastAsia="Times New Roman" w:hAnsi="Times New Roman"/>
                <w:sz w:val="13"/>
                <w:szCs w:val="13"/>
                <w:b w:val="1"/>
                <w:bCs w:val="1"/>
                <w:color w:val="auto"/>
              </w:rPr>
              <w:t>Cash, Cash</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Marketable</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3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Adjusted Cost Basis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Unrealized Gains</w:t>
            </w: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5"/>
                <w:szCs w:val="5"/>
                <w:color w:val="auto"/>
              </w:rPr>
            </w:pPr>
          </w:p>
        </w:tc>
        <w:tc>
          <w:tcPr>
            <w:tcW w:w="1200" w:type="dxa"/>
            <w:vAlign w:val="bottom"/>
            <w:vMerge w:val="restart"/>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Equivalents and</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0" w:type="dxa"/>
            <w:vAlign w:val="bottom"/>
          </w:tcPr>
          <w:p>
            <w:pPr>
              <w:spacing w:after="0"/>
              <w:rPr>
                <w:sz w:val="1"/>
                <w:szCs w:val="1"/>
                <w:color w:val="auto"/>
              </w:rPr>
            </w:pPr>
          </w:p>
        </w:tc>
      </w:tr>
      <w:tr>
        <w:trPr>
          <w:trHeight w:val="97"/>
        </w:trPr>
        <w:tc>
          <w:tcPr>
            <w:tcW w:w="268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80" w:type="dxa"/>
            <w:vAlign w:val="bottom"/>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3"/>
                <w:szCs w:val="13"/>
                <w:color w:val="auto"/>
              </w:rPr>
              <w:t>Cash</w:t>
            </w:r>
          </w:p>
        </w:tc>
        <w:tc>
          <w:tcPr>
            <w:tcW w:w="4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726</w:t>
            </w:r>
          </w:p>
        </w:tc>
        <w:tc>
          <w:tcPr>
            <w:tcW w:w="740" w:type="dxa"/>
            <w:vAlign w:val="bottom"/>
            <w:gridSpan w:val="3"/>
            <w:shd w:val="clear" w:color="auto" w:fill="CFF0FC"/>
          </w:tcPr>
          <w:p>
            <w:pPr>
              <w:jc w:val="right"/>
              <w:ind w:right="3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726</w:t>
            </w:r>
          </w:p>
        </w:tc>
        <w:tc>
          <w:tcPr>
            <w:tcW w:w="380" w:type="dxa"/>
            <w:vAlign w:val="bottom"/>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4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Level 1:</w:t>
            </w:r>
          </w:p>
        </w:tc>
        <w:tc>
          <w:tcPr>
            <w:tcW w:w="4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Money market funds</w:t>
            </w:r>
          </w:p>
        </w:tc>
        <w:tc>
          <w:tcPr>
            <w:tcW w:w="4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Commercial paper</w:t>
            </w:r>
          </w:p>
        </w:tc>
        <w:tc>
          <w:tcPr>
            <w:tcW w:w="4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3,899</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3,900</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3,900</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Total Level 1:</w:t>
            </w:r>
          </w:p>
        </w:tc>
        <w:tc>
          <w:tcPr>
            <w:tcW w:w="4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42,681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42,682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38,782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Level 2:</w:t>
            </w:r>
          </w:p>
        </w:tc>
        <w:tc>
          <w:tcPr>
            <w:tcW w:w="4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Government securities</w:t>
            </w:r>
          </w:p>
        </w:tc>
        <w:tc>
          <w:tcPr>
            <w:tcW w:w="4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Certificates of deposit</w:t>
            </w:r>
          </w:p>
        </w:tc>
        <w:tc>
          <w:tcPr>
            <w:tcW w:w="4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4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32,370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Level 2:</w:t>
            </w:r>
          </w:p>
        </w:tc>
        <w:tc>
          <w:tcPr>
            <w:tcW w:w="4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48,140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48,200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48,200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tcPr>
          <w:p>
            <w:pPr>
              <w:spacing w:after="0"/>
              <w:rPr>
                <w:sz w:val="12"/>
                <w:szCs w:val="12"/>
                <w:color w:val="auto"/>
              </w:rPr>
            </w:pPr>
          </w:p>
        </w:tc>
        <w:tc>
          <w:tcPr>
            <w:tcW w:w="460" w:type="dxa"/>
            <w:vAlign w:val="bottom"/>
          </w:tcPr>
          <w:p>
            <w:pPr>
              <w:jc w:val="right"/>
              <w:ind w:right="34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95,692</w:t>
            </w:r>
          </w:p>
        </w:tc>
        <w:tc>
          <w:tcPr>
            <w:tcW w:w="220" w:type="dxa"/>
            <w:vAlign w:val="bottom"/>
            <w:gridSpan w:val="2"/>
          </w:tcPr>
          <w:p>
            <w:pPr>
              <w:spacing w:after="0"/>
              <w:rPr>
                <w:sz w:val="12"/>
                <w:szCs w:val="12"/>
                <w:color w:val="auto"/>
              </w:rPr>
            </w:pPr>
          </w:p>
        </w:tc>
        <w:tc>
          <w:tcPr>
            <w:tcW w:w="52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62</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95,753</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43,653</w:t>
            </w:r>
          </w:p>
        </w:tc>
        <w:tc>
          <w:tcPr>
            <w:tcW w:w="3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52,100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Measurements as of December 31, 2024</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right="93"/>
              <w:spacing w:after="0" w:line="126"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133"/>
              <w:spacing w:after="0" w:line="126"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6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3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Adjusted Cost Basis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Unrealized Gains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Equivalents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3"/>
                <w:szCs w:val="13"/>
                <w:color w:val="auto"/>
              </w:rPr>
              <w:t>Cash</w:t>
            </w:r>
          </w:p>
        </w:tc>
        <w:tc>
          <w:tcPr>
            <w:tcW w:w="4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911</w:t>
            </w:r>
          </w:p>
        </w:tc>
        <w:tc>
          <w:tcPr>
            <w:tcW w:w="740" w:type="dxa"/>
            <w:vAlign w:val="bottom"/>
            <w:gridSpan w:val="3"/>
            <w:shd w:val="clear" w:color="auto" w:fill="CFF0FC"/>
          </w:tcPr>
          <w:p>
            <w:pPr>
              <w:jc w:val="right"/>
              <w:ind w:right="3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911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911</w:t>
            </w:r>
          </w:p>
        </w:tc>
        <w:tc>
          <w:tcPr>
            <w:tcW w:w="380" w:type="dxa"/>
            <w:vAlign w:val="bottom"/>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Level 1:</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Money market funds</w:t>
            </w:r>
          </w:p>
        </w:tc>
        <w:tc>
          <w:tcPr>
            <w:tcW w:w="4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68,639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68,639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68,639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Commercial paper</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6,879</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Level 1:</w:t>
            </w:r>
          </w:p>
        </w:tc>
        <w:tc>
          <w:tcPr>
            <w:tcW w:w="4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75,515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75,518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69,287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6,231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Level 2:</w:t>
            </w:r>
          </w:p>
        </w:tc>
        <w:tc>
          <w:tcPr>
            <w:tcW w:w="4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U.S. Treasury securities</w:t>
            </w:r>
          </w:p>
        </w:tc>
        <w:tc>
          <w:tcPr>
            <w:tcW w:w="4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7,232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7,234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Government securities</w:t>
            </w:r>
          </w:p>
        </w:tc>
        <w:tc>
          <w:tcPr>
            <w:tcW w:w="4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Certificates of deposit</w:t>
            </w:r>
          </w:p>
        </w:tc>
        <w:tc>
          <w:tcPr>
            <w:tcW w:w="4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4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29,785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Level 2:</w:t>
            </w:r>
          </w:p>
        </w:tc>
        <w:tc>
          <w:tcPr>
            <w:tcW w:w="4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41,382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41,381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6,494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34,887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tcPr>
          <w:p>
            <w:pPr>
              <w:spacing w:after="0"/>
              <w:rPr>
                <w:sz w:val="12"/>
                <w:szCs w:val="12"/>
                <w:color w:val="auto"/>
              </w:rPr>
            </w:pPr>
          </w:p>
        </w:tc>
        <w:tc>
          <w:tcPr>
            <w:tcW w:w="460" w:type="dxa"/>
            <w:vAlign w:val="bottom"/>
          </w:tcPr>
          <w:p>
            <w:pPr>
              <w:jc w:val="right"/>
              <w:ind w:right="34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117,808</w:t>
            </w:r>
          </w:p>
        </w:tc>
        <w:tc>
          <w:tcPr>
            <w:tcW w:w="220" w:type="dxa"/>
            <w:vAlign w:val="bottom"/>
            <w:gridSpan w:val="2"/>
          </w:tcPr>
          <w:p>
            <w:pPr>
              <w:spacing w:after="0"/>
              <w:rPr>
                <w:sz w:val="12"/>
                <w:szCs w:val="12"/>
                <w:color w:val="auto"/>
              </w:rPr>
            </w:pPr>
          </w:p>
        </w:tc>
        <w:tc>
          <w:tcPr>
            <w:tcW w:w="52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(13)</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117,810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76,692</w:t>
            </w:r>
          </w:p>
        </w:tc>
        <w:tc>
          <w:tcPr>
            <w:tcW w:w="3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41,118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-2305050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-2305050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-2305050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-2305050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-2305050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-1713865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-1713865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-1713865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-1713865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-1713865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-710565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-710565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-710565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-710565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-710565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-710565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-128270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-128270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-128270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-128270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-128270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 of the Company’s cash, restricted cash, accounts receivable, other current assets, accounts payable, and accrued liabilities approximate fair value because of the relatively short-term nature of the underlying assets or liabilities. The Company's cash equivalents and marketable securities are classified within Level 1 or Level 2 of the fair value hierarchy because their fair values are derived from quoted market prices or quoted market prices for similar assets or liabilities or quoted prices in markets that are not active, or other inputs that are observable or can be corroborated by observable market data for substantially the full term of the assets or liabilities.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remaining contractual maturities of the Company's marketable securities as of September 30,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414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680" w:type="dxa"/>
            <w:vAlign w:val="bottom"/>
            <w:tcBorders>
              <w:top w:val="single" w:sz="8" w:color="auto"/>
              <w:bottom w:val="single" w:sz="8" w:color="auto"/>
            </w:tcBorders>
          </w:tcPr>
          <w:p>
            <w:pPr>
              <w:jc w:val="right"/>
              <w:ind w:right="1157"/>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45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after one year to two years</w:t>
            </w:r>
          </w:p>
        </w:tc>
        <w:tc>
          <w:tcPr>
            <w:tcW w:w="414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90"/>
        </w:trPr>
        <w:tc>
          <w:tcPr>
            <w:tcW w:w="3900" w:type="dxa"/>
            <w:vAlign w:val="bottom"/>
          </w:tcPr>
          <w:p>
            <w:pPr>
              <w:spacing w:after="0"/>
              <w:rPr>
                <w:sz w:val="24"/>
                <w:szCs w:val="24"/>
                <w:color w:val="auto"/>
              </w:rPr>
            </w:pPr>
          </w:p>
        </w:tc>
        <w:tc>
          <w:tcPr>
            <w:tcW w:w="414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Placement Warrants are valued using the Black-Scholes-Merton Model, which is considered to be a Level 3 fair value measurement, as such they are classified within Level 3 of the fair value hierarchy. 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Private Placement Warrants measured at fair value on a recurring basis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Level 3 Liabilities</w:t>
            </w: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6"/>
          </w:tcPr>
          <w:p>
            <w:pPr>
              <w:jc w:val="center"/>
              <w:ind w:left="1222"/>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6"/>
          </w:tcPr>
          <w:p>
            <w:pPr>
              <w:jc w:val="center"/>
              <w:ind w:left="122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(1,077)</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Level 3 Liabilities</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6"/>
          </w:tcPr>
          <w:p>
            <w:pPr>
              <w:jc w:val="center"/>
              <w:ind w:left="1222"/>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1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6"/>
          </w:tcPr>
          <w:p>
            <w:pPr>
              <w:jc w:val="center"/>
              <w:ind w:left="122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1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(794)</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inputs utilized in determining the fair value of the Private Placement Warrants as of September 30,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3800" w:type="dxa"/>
            <w:vAlign w:val="bottom"/>
            <w:tcBorders>
              <w:bottom w:val="single" w:sz="8" w:color="auto"/>
            </w:tcBorders>
            <w:gridSpan w:val="3"/>
          </w:tcPr>
          <w:p>
            <w:pPr>
              <w:ind w:left="2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680" w:type="dxa"/>
            <w:vAlign w:val="bottom"/>
            <w:tcBorders>
              <w:bottom w:val="single" w:sz="8" w:color="auto"/>
            </w:tcBorders>
          </w:tcPr>
          <w:p>
            <w:pPr>
              <w:jc w:val="right"/>
              <w:ind w:right="1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ind w:right="1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(1)</w:t>
            </w:r>
          </w:p>
        </w:tc>
        <w:tc>
          <w:tcPr>
            <w:tcW w:w="3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3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88.4%</w:t>
            </w:r>
          </w:p>
        </w:tc>
        <w:tc>
          <w:tcPr>
            <w:tcW w:w="720" w:type="dxa"/>
            <w:vAlign w:val="bottom"/>
          </w:tcPr>
          <w:p>
            <w:pPr>
              <w:spacing w:after="0"/>
              <w:rPr>
                <w:sz w:val="18"/>
                <w:szCs w:val="18"/>
                <w:color w:val="auto"/>
              </w:rPr>
            </w:pP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3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3.76%</w:t>
            </w:r>
          </w:p>
        </w:tc>
        <w:tc>
          <w:tcPr>
            <w:tcW w:w="72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Term to warrant expiration (years)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0" w:hanging="216"/>
        <w:spacing w:after="0"/>
        <w:tabs>
          <w:tab w:leader="none" w:pos="3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during the nine months ended September 30, 2025 and 2024.</w:t>
      </w:r>
    </w:p>
    <w:p>
      <w:pPr>
        <w:spacing w:after="0" w:line="43" w:lineRule="exact"/>
        <w:rPr>
          <w:rFonts w:ascii="Times New Roman" w:cs="Times New Roman" w:eastAsia="Times New Roman" w:hAnsi="Times New Roman"/>
          <w:sz w:val="15"/>
          <w:szCs w:val="15"/>
          <w:color w:val="auto"/>
        </w:rPr>
      </w:pPr>
    </w:p>
    <w:p>
      <w:pPr>
        <w:ind w:left="300" w:hanging="216"/>
        <w:spacing w:after="0"/>
        <w:tabs>
          <w:tab w:leader="none" w:pos="3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is based on the back-solved implied volatility of the Company's public warrants as of the valuation date.</w:t>
      </w:r>
    </w:p>
    <w:p>
      <w:pPr>
        <w:spacing w:after="0" w:line="43" w:lineRule="exact"/>
        <w:rPr>
          <w:rFonts w:ascii="Times New Roman" w:cs="Times New Roman" w:eastAsia="Times New Roman" w:hAnsi="Times New Roman"/>
          <w:sz w:val="15"/>
          <w:szCs w:val="15"/>
          <w:color w:val="auto"/>
        </w:rPr>
      </w:pPr>
    </w:p>
    <w:p>
      <w:pPr>
        <w:ind w:left="300" w:hanging="216"/>
        <w:spacing w:after="0"/>
        <w:tabs>
          <w:tab w:leader="none" w:pos="3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risk-free interest rate is based on the yield from U.S. Treasury bonds with an equivalent term to the time to maturity of the warrants.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FIXED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 net, as of September 30, 2025 and December 31, 2024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jc w:val="right"/>
              <w:ind w:right="63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14,402</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equipment</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15,323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 net</w:t>
            </w:r>
          </w:p>
        </w:tc>
        <w:tc>
          <w:tcPr>
            <w:tcW w:w="3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12,728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92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1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-1319530</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-1036320</wp:posOffset>
            </wp:positionV>
            <wp:extent cx="120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CONTINGENT LIABILITIES</w:t>
      </w: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As of September 30, 2025, there were no material pending legal proceedings, claims or litigation.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customers against liabilities if there is a breach of a customer’s data or if the Company’s service infringes a third party’s intellectual property rights. To date, the Company has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CAPITAL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for a total of $40.0 million. The Share Repurchase Program will remain in effect until the earliest: 1) the total authorized dollar amount of shares is repurchased or 2) August 1, 2026.</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repurchased and retired an aggregate of 3,516,677 and 6,577,115 shares, respectively, of its common stock for a total consideration of $8.8 million ($2.51 per share) and $17.2 million ($2.62 per share), respectively. As of September 30, 2025, $11.8 million remained available under the Share Repurchase Program.</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Repurchase Program does not obligate the Company to repurchase any dollar amount or number of shares, and may be modified, suspended, or discontinued at any time at the Company’s discretion without prior notice. All shares repurchased will be retired.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Company adopted the 2021 Incentive Award Plan (the “2021 Plan”) under which the Company may grant cash and equity incentive awards to officers, employees, directors, consultants and service providers in order to attract, motivate and retain talent. The 2021 Plan replaced the Company's previous stock compensation plan.</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generally recognized on a straight-line basis in the Company’s condensed consolidated income statements over the requisite service period (generally requiring a four-year vesting period).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3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share-based compensation expense related to stock options and restricted stock units included in the respective components of operating expenses in the condensed consolidated income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Clinical operations, net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INCOME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basic net income (loss) per share is calculated by dividing net income (loss) attributable to ordinary shareholders by the weighted-average number of shares of common stock outstanding for the period, without consideration of potentially dilutive securities. The diluted net income (loss) per share is calculated by giving effect to all potentially dilutive securities outstanding for the period using the treasury stock method or the if-converted method based on the nature of such securities. Diluted net income (loss) per share is the same as basic net income (loss) per share in periods when the effects of potentially dilutive shares of common stock are anti-dilutive.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40" w:type="dxa"/>
            <w:vAlign w:val="bottom"/>
          </w:tcPr>
          <w:p>
            <w:pPr>
              <w:spacing w:after="0"/>
              <w:rPr>
                <w:sz w:val="15"/>
                <w:szCs w:val="15"/>
                <w:color w:val="auto"/>
              </w:rPr>
            </w:pPr>
          </w:p>
        </w:tc>
        <w:tc>
          <w:tcPr>
            <w:tcW w:w="1980" w:type="dxa"/>
            <w:vAlign w:val="bottom"/>
            <w:gridSpan w:val="3"/>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 w:type="dxa"/>
            <w:vAlign w:val="bottom"/>
          </w:tcPr>
          <w:p>
            <w:pPr>
              <w:spacing w:after="0"/>
              <w:rPr>
                <w:sz w:val="15"/>
                <w:szCs w:val="15"/>
                <w:color w:val="auto"/>
              </w:rPr>
            </w:pPr>
          </w:p>
        </w:tc>
        <w:tc>
          <w:tcPr>
            <w:tcW w:w="1980" w:type="dxa"/>
            <w:vAlign w:val="bottom"/>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83"/>
        </w:trPr>
        <w:tc>
          <w:tcPr>
            <w:tcW w:w="724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56"/>
        </w:trPr>
        <w:tc>
          <w:tcPr>
            <w:tcW w:w="724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number of shares and per share amounts)</w:t>
            </w:r>
          </w:p>
        </w:tc>
        <w:tc>
          <w:tcPr>
            <w:tcW w:w="960" w:type="dxa"/>
            <w:vAlign w:val="bottom"/>
          </w:tcPr>
          <w:p>
            <w:pPr>
              <w:jc w:val="right"/>
              <w:ind w:right="26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020" w:type="dxa"/>
            <w:vAlign w:val="bottom"/>
            <w:gridSpan w:val="2"/>
          </w:tcPr>
          <w:p>
            <w:pPr>
              <w:jc w:val="right"/>
              <w:ind w:right="26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Pr>
          <w:p>
            <w:pPr>
              <w:spacing w:after="0"/>
              <w:rPr>
                <w:sz w:val="13"/>
                <w:szCs w:val="13"/>
                <w:color w:val="auto"/>
              </w:rPr>
            </w:pPr>
          </w:p>
        </w:tc>
        <w:tc>
          <w:tcPr>
            <w:tcW w:w="960" w:type="dxa"/>
            <w:vAlign w:val="bottom"/>
          </w:tcPr>
          <w:p>
            <w:pPr>
              <w:jc w:val="right"/>
              <w:ind w:right="24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020" w:type="dxa"/>
            <w:vAlign w:val="bottom"/>
            <w:gridSpan w:val="2"/>
          </w:tcPr>
          <w:p>
            <w:pPr>
              <w:jc w:val="right"/>
              <w:ind w:right="26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56"/>
        </w:trPr>
        <w:tc>
          <w:tcPr>
            <w:tcW w:w="7240" w:type="dxa"/>
            <w:vAlign w:val="bottom"/>
            <w:vMerge w:val="continue"/>
          </w:tcPr>
          <w:p>
            <w:pPr>
              <w:spacing w:after="0"/>
              <w:rPr>
                <w:sz w:val="13"/>
                <w:szCs w:val="13"/>
                <w:color w:val="auto"/>
              </w:rPr>
            </w:pPr>
          </w:p>
        </w:tc>
        <w:tc>
          <w:tcPr>
            <w:tcW w:w="960" w:type="dxa"/>
            <w:vAlign w:val="bottom"/>
            <w:tcBorders>
              <w:top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i w:val="1"/>
                <w:iCs w:val="1"/>
                <w:color w:val="auto"/>
              </w:rPr>
              <w:t>Unaudited</w:t>
            </w:r>
          </w:p>
        </w:tc>
        <w:tc>
          <w:tcPr>
            <w:tcW w:w="60" w:type="dxa"/>
            <w:vAlign w:val="bottom"/>
          </w:tcPr>
          <w:p>
            <w:pPr>
              <w:spacing w:after="0"/>
              <w:rPr>
                <w:sz w:val="13"/>
                <w:szCs w:val="13"/>
                <w:color w:val="auto"/>
              </w:rPr>
            </w:pPr>
          </w:p>
        </w:tc>
        <w:tc>
          <w:tcPr>
            <w:tcW w:w="960" w:type="dxa"/>
            <w:vAlign w:val="bottom"/>
            <w:tcBorders>
              <w:top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i w:val="1"/>
                <w:iCs w:val="1"/>
                <w:color w:val="auto"/>
              </w:rPr>
              <w:t>Unaudited</w:t>
            </w:r>
          </w:p>
        </w:tc>
        <w:tc>
          <w:tcPr>
            <w:tcW w:w="40" w:type="dxa"/>
            <w:vAlign w:val="bottom"/>
          </w:tcPr>
          <w:p>
            <w:pPr>
              <w:spacing w:after="0"/>
              <w:rPr>
                <w:sz w:val="13"/>
                <w:szCs w:val="13"/>
                <w:color w:val="auto"/>
              </w:rPr>
            </w:pPr>
          </w:p>
        </w:tc>
        <w:tc>
          <w:tcPr>
            <w:tcW w:w="960" w:type="dxa"/>
            <w:vAlign w:val="bottom"/>
            <w:tcBorders>
              <w:top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i w:val="1"/>
                <w:iCs w:val="1"/>
                <w:color w:val="auto"/>
              </w:rPr>
              <w:t>Unaudited</w:t>
            </w:r>
          </w:p>
        </w:tc>
        <w:tc>
          <w:tcPr>
            <w:tcW w:w="60" w:type="dxa"/>
            <w:vAlign w:val="bottom"/>
          </w:tcPr>
          <w:p>
            <w:pPr>
              <w:spacing w:after="0"/>
              <w:rPr>
                <w:sz w:val="13"/>
                <w:szCs w:val="13"/>
                <w:color w:val="auto"/>
              </w:rPr>
            </w:pPr>
          </w:p>
        </w:tc>
        <w:tc>
          <w:tcPr>
            <w:tcW w:w="960" w:type="dxa"/>
            <w:vAlign w:val="bottom"/>
            <w:tcBorders>
              <w:top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i w:val="1"/>
                <w:iCs w:val="1"/>
                <w:color w:val="auto"/>
              </w:rPr>
              <w:t>Unaudited</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income (loss)</w:t>
            </w: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$3,251</w:t>
            </w:r>
          </w:p>
        </w:tc>
        <w:tc>
          <w:tcPr>
            <w:tcW w:w="10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$1,874</w:t>
            </w:r>
          </w:p>
        </w:tc>
        <w:tc>
          <w:tcPr>
            <w:tcW w:w="10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$3,028</w:t>
            </w:r>
          </w:p>
        </w:tc>
        <w:tc>
          <w:tcPr>
            <w:tcW w:w="10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162"/>
        </w:trPr>
        <w:tc>
          <w:tcPr>
            <w:tcW w:w="7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Weighted average shares used to compute net income (loss) per share:</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Basic</w:t>
            </w: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166,190,495</w:t>
            </w:r>
          </w:p>
        </w:tc>
        <w:tc>
          <w:tcPr>
            <w:tcW w:w="10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168,426,349</w:t>
            </w:r>
          </w:p>
        </w:tc>
        <w:tc>
          <w:tcPr>
            <w:tcW w:w="10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167,455,607</w:t>
            </w:r>
          </w:p>
        </w:tc>
        <w:tc>
          <w:tcPr>
            <w:tcW w:w="10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168,805,882</w:t>
            </w:r>
          </w:p>
        </w:tc>
        <w:tc>
          <w:tcPr>
            <w:tcW w:w="0" w:type="dxa"/>
            <w:vAlign w:val="bottom"/>
          </w:tcPr>
          <w:p>
            <w:pPr>
              <w:spacing w:after="0"/>
              <w:rPr>
                <w:sz w:val="1"/>
                <w:szCs w:val="1"/>
                <w:color w:val="auto"/>
              </w:rPr>
            </w:pPr>
          </w:p>
        </w:tc>
      </w:tr>
      <w:tr>
        <w:trPr>
          <w:trHeight w:val="162"/>
        </w:trPr>
        <w:tc>
          <w:tcPr>
            <w:tcW w:w="72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Dilutive effect of share-based awards</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5,271,707</w:t>
            </w:r>
          </w:p>
        </w:tc>
        <w:tc>
          <w:tcPr>
            <w:tcW w:w="10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5,327,414</w:t>
            </w:r>
          </w:p>
        </w:tc>
        <w:tc>
          <w:tcPr>
            <w:tcW w:w="10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6,553,783</w:t>
            </w:r>
          </w:p>
        </w:tc>
        <w:tc>
          <w:tcPr>
            <w:tcW w:w="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Diluted</w:t>
            </w: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171,462,202</w:t>
            </w:r>
          </w:p>
        </w:tc>
        <w:tc>
          <w:tcPr>
            <w:tcW w:w="10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173,753,763</w:t>
            </w:r>
          </w:p>
        </w:tc>
        <w:tc>
          <w:tcPr>
            <w:tcW w:w="10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174,009,390</w:t>
            </w:r>
          </w:p>
        </w:tc>
        <w:tc>
          <w:tcPr>
            <w:tcW w:w="10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168,805,882</w:t>
            </w:r>
          </w:p>
        </w:tc>
        <w:tc>
          <w:tcPr>
            <w:tcW w:w="0" w:type="dxa"/>
            <w:vAlign w:val="bottom"/>
          </w:tcPr>
          <w:p>
            <w:pPr>
              <w:spacing w:after="0"/>
              <w:rPr>
                <w:sz w:val="1"/>
                <w:szCs w:val="1"/>
                <w:color w:val="auto"/>
              </w:rPr>
            </w:pPr>
          </w:p>
        </w:tc>
      </w:tr>
      <w:tr>
        <w:trPr>
          <w:trHeight w:val="162"/>
        </w:trPr>
        <w:tc>
          <w:tcPr>
            <w:tcW w:w="724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income (loss) per share:</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Basic</w:t>
            </w: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10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$0.01</w:t>
            </w:r>
          </w:p>
        </w:tc>
        <w:tc>
          <w:tcPr>
            <w:tcW w:w="10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10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0" w:type="dxa"/>
            <w:vAlign w:val="bottom"/>
          </w:tcPr>
          <w:p>
            <w:pPr>
              <w:spacing w:after="0"/>
              <w:rPr>
                <w:sz w:val="1"/>
                <w:szCs w:val="1"/>
                <w:color w:val="auto"/>
              </w:rPr>
            </w:pPr>
          </w:p>
        </w:tc>
      </w:tr>
      <w:tr>
        <w:trPr>
          <w:trHeight w:val="198"/>
        </w:trPr>
        <w:tc>
          <w:tcPr>
            <w:tcW w:w="7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Diluted</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the shares underlying the following were excluded from the calculation of diluted net income per share since each would have had an anti-dilutive effect: 3,711,159 stock options, 2,327,232 restricted stock units, 12,757,500 Private Placement Warrants and 20,722,500 Public Warrants to purchase the Company’s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shares underlying the following were excluded from the calculation of diluted net income per share since each would have had an anti-dilutive effect: 3,633,163 stock options, 176,299 restricted stock units, 12,757,500 Private Placement Warrants and 20,722,500 Public Warrants to purchase the Company’s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the shares underlying the following were excluded from the calculation of diluted net income per share since each would have had an anti-dilutive effect: 40,136 vested and non-vested stock options outstanding, 892,261 non-vested and outstanding restricted stock units, 12,780,000 Private Placement Warrants and 20,700,000 Public Warrants to purchase the Company’s common stock.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the shares underlying the following were excluded from the calculation of diluted net loss per share since each would have had an anti-dilutive effect giving the Company's net loss: 10,124,328 vested and non-vested stock options outstanding, 7,469,997 non-vested and outstanding restricted stock units, 12,780,000 Private Placement Warrants and 20,700,000 Public Warrants to purchase the Company’s common stock.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included within accrued expenses and other current liabilities as of September 30, 2025 and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5"/>
                <w:szCs w:val="15"/>
                <w:color w:val="auto"/>
              </w:rPr>
            </w:pPr>
          </w:p>
        </w:tc>
        <w:tc>
          <w:tcPr>
            <w:tcW w:w="18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3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User acquisition</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-170815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VARIABLE INTEREST ENTITIES ("VIEs")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subsidiary Talkspace LLC, entered into various agreements with a Texas professional association entity (Talkspace Provider Network, PA or “TPN”), which in turn contracts with the Company's other affiliated professional entities ("PC entities"), physicians, therapists, and other licensed professionals for clinical and professional services provided to the Company's members. Talkspace LLC is party to various Management Services Agreements (MSAs”) with TPN as well as the PC entities.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MSAs, Talkspace LLC is the managing entity (the “Manager”) and provides management and administrative resources and services essential to the operations of TPN and the PC entities and receives a management fee for these services and reimbursement of expenses incurred. TPN and the PC entities in turn have the obligation under the MSAs to engage all licensed physicians and other health professionals to provide behavioral healthcare services to the Company's members. In addition, to the extent that TPN or the PC entities lack sufficient funds to meet their obligations, the Manager may, at its sole discretion, advance funds to TPN or the PC entities to cover these obligations. Such advances would be considered loans made by the Manager and should be repaid as per the terms of the management agreement. No such advances have been made by the Manager to TPN or the PC entities as of September 30,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ownership, contractual and other interests in entities that are not wholly-owned to determine if these entities are VIEs, and, if so, whether the Company is the primary beneficiary of the VIE. The Company's policy is to consolidate any VIEs where the Company is deemed to be the primary beneficiary. The Company determined that it holds a variable interest in TPN and the PC entities. The Company evaluates whether an entity in which it has a variable interest is considered a VIE as defined under ASC 810, “Consolidation.” VIEs are generally entities that have either a total equity investment that is insufficient to permit the entity to finance its activities without additional subordinated financial support, or whose equity investors lack the characteristics of a controlling financial interest. The Company determined that TPN and the PC entities are VIEs and that it is the primary beneficiary of these VIEs as it is able to direct the activities of TPN and the PC entities that most significantly impact their economic performance and fund and absorb all their losses; therefore, the Company consolidates these VIEs.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assets of the Company’s consolidated variable interest entities are subject to legal, contractual, and regulatory restrictions that limit their use to specified purposes such as funding operations, servicing debt, and meeting regulatory requirements. The liabilities of these VIEs may be subject to contractual limitations on settlement. Creditors and beneficial interest holders of the VIEs generally have recourse only to the assets of the VIEs and not to the general credit of the Company, except as provided under specific agreements. The Company’s maximum exposure to loss from these VIEs is intended to be limited to its interests in these entities and any specific contractual requirements, including guarantees or other commitments,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and liabilities of the VIEs as of September 30, 2025 and December 31, 2024. The assets and liabilities in the table below are presented prior to consolidation and thus a portion of these assets and liabilities are eliminated in consolidation.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722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12,709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6,743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41,649</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27,861</w:t>
            </w:r>
          </w:p>
        </w:tc>
        <w:tc>
          <w:tcPr>
            <w:tcW w:w="0" w:type="dxa"/>
            <w:vAlign w:val="bottom"/>
          </w:tcPr>
          <w:p>
            <w:pPr>
              <w:spacing w:after="0"/>
              <w:rPr>
                <w:sz w:val="1"/>
                <w:szCs w:val="1"/>
                <w:color w:val="auto"/>
              </w:rPr>
            </w:pPr>
          </w:p>
        </w:tc>
      </w:tr>
      <w:tr>
        <w:trPr>
          <w:trHeight w:val="197"/>
        </w:trPr>
        <w:tc>
          <w:tcPr>
            <w:tcW w:w="72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-471170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-454025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2025, the Company completed the acquisition of Wisdo Health, a clinically-proven social health and peer support platform, to expand Talkspace’s commitment to innovation and holistic mental health care. The consideration consisted of cash and shares of the Company's common stock.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as to “Talkspace,” the “Company,” “we,” “us” or “our” refer to the business of Talkspace, Inc. and its consolidated subsidiaries.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2024.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2024 and “Forward-Looking Statements” sections and elsewhere in this Quarterly Report, our actual results may differ materially from those anticipated in these forward-looking statements.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this section is to discuss and analyze our consolidated financial condition, liquidity and capital resources and results of operations for the three and nine months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is a healthcare company offering its members convenient and affordable access to a fully-credentialed network of highly qualified providers. We are a leading virtual behavioral health company connecting millions of patients with licensed mental health providers across a wide and growing spectrum of care through virtual psychotherapy and psychiatry. We created a purpose-built platform to address the vast, unmet and growing demand for mental health services. Through its platform, Talkspace serves:</w:t>
      </w:r>
    </w:p>
    <w:p>
      <w:pPr>
        <w:spacing w:after="0" w:line="72"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(commercial and government) and employee assistance programs (“Payor”), who offer their insured members access to the Company's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(“DTE”), who offer their enterprise members access to the Company's platform while their enterprise is under an active contract with Talkspace,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the Company's platform.</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our clinicians completed approximately 432,200 and 1,167,300 sessions, respectively, related to members covered under our Payor customers, compared to 316,400 and 899,200 completed sessions, respectively, for the three and nine months ended September 30, 2024. As of September 30, 2025, we had approximately 6,400 Consumer active members compared to 8,600 Consumer active members as of September 30, 2024. Please refer to the “Key Business Metrics” section below for a description of Consumer active members.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 and Economic Conditions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demand for our solution is dependent on the general economy, which is in turn affected by geopolitical conditions, the stability of the global credit markets, inflationary pressures, higher interest rates, the industries in which our Payor and DTE customers operate or serve, and other factors. Downturns in the general economy could disproportionately affect the demand for our solution and cause it to decrease.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could also be impacted by inflation and higher interest rates. Inflation did not have a material effect on our business, financial condition or results of operations for the nine months ended September 30, 2025 and 2024. However, if our costs were to become subject to significant inflationary pressures (such as Provider cost), we may not be able to fully offset such higher costs through price increases or cost savings. Our inability or failure to do so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Big Beautiful Bill Act (“OBBBA”)</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federal income tax legislation, commonly referred to as the OBBBA, was enacted on July 4, 2025. While the Company continues to record a full valuation allowance against its U.S. deferred tax assets, the OBBBA has a positive impact on our liquidity and the duration of our future cash tax shield. The OBBBA permanently reinstates 100% Bonus Depreciation for qualified capital expenditures made after January 19, 2025, and allows the immediate expensing of domestic Research and Development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R&amp;D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costs for tax years beginning after December 31, 2024. These provisions increase the amount of tax deductions available in the current and future periods. The permanent nature of R&amp;D expensing and Bonus Depreciation, combined with the permanent extension of post-2017 Net Operating Loss carryforwards, increases the expected longevity of our tax shield.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we continue to maintain a full valuation allowance against our net deferred tax assets which primarily consists of accumulated net operating losses carried forward due to the uncertainty of the realization of such deferred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which is how the chief operating decision maker (“CODM”), who is the Chief Executive Officer, reviews financial performance and allocates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3140" w:type="dxa"/>
            <w:vAlign w:val="bottom"/>
            <w:tcBorders>
              <w:bottom w:val="single" w:sz="8" w:color="auto"/>
            </w:tcBorders>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customers or otherwise indicated)</w:t>
            </w:r>
          </w:p>
        </w:tc>
        <w:tc>
          <w:tcPr>
            <w:tcW w:w="1160" w:type="dxa"/>
            <w:vAlign w:val="bottom"/>
          </w:tcPr>
          <w:p>
            <w:pPr>
              <w:jc w:val="center"/>
              <w:ind w:left="4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980" w:type="dxa"/>
            <w:vAlign w:val="bottom"/>
            <w:gridSpan w:val="3"/>
          </w:tcPr>
          <w:p>
            <w:pPr>
              <w:jc w:val="center"/>
              <w:ind w:left="11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1160" w:type="dxa"/>
            <w:vAlign w:val="bottom"/>
            <w:tcBorders>
              <w:top w:val="single" w:sz="8" w:color="auto"/>
            </w:tcBorders>
          </w:tcPr>
          <w:p>
            <w:pPr>
              <w:jc w:val="center"/>
              <w:ind w:left="488"/>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top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completed Payor sessions during the period</w:t>
            </w: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1,167.3</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Number of health plan customers at period end</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enterprise customers at period end</w:t>
            </w: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Number of Consumer active members at period end</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3140" w:type="dxa"/>
            <w:vAlign w:val="bottom"/>
            <w:tcBorders>
              <w:bottom w:val="single" w:sz="8" w:color="auto"/>
            </w:tcBorders>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980" w:type="dxa"/>
            <w:vAlign w:val="bottom"/>
            <w:gridSpan w:val="3"/>
          </w:tcPr>
          <w:p>
            <w:pPr>
              <w:jc w:val="center"/>
              <w:ind w:left="1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600" w:type="dxa"/>
            <w:vAlign w:val="bottom"/>
            <w:vMerge w:val="continue"/>
          </w:tcPr>
          <w:p>
            <w:pPr>
              <w:spacing w:after="0"/>
              <w:rPr>
                <w:sz w:val="13"/>
                <w:szCs w:val="13"/>
                <w:color w:val="auto"/>
              </w:rPr>
            </w:pPr>
          </w:p>
        </w:tc>
        <w:tc>
          <w:tcPr>
            <w:tcW w:w="1160" w:type="dxa"/>
            <w:vAlign w:val="bottom"/>
            <w:tcBorders>
              <w:top w:val="single" w:sz="8" w:color="auto"/>
            </w:tcBorders>
            <w:vMerge w:val="restart"/>
          </w:tcPr>
          <w:p>
            <w:pPr>
              <w:jc w:val="center"/>
              <w:ind w:left="48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vMerge w:val="restart"/>
          </w:tcPr>
          <w:p>
            <w:pPr>
              <w:jc w:val="center"/>
              <w:ind w:left="40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6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Unique Payor active members during the period</w:t>
            </w: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Active Members: </w:t>
      </w:r>
      <w:r>
        <w:rPr>
          <w:rFonts w:ascii="Times New Roman" w:cs="Times New Roman" w:eastAsia="Times New Roman" w:hAnsi="Times New Roman"/>
          <w:sz w:val="18"/>
          <w:szCs w:val="18"/>
          <w:color w:val="auto"/>
        </w:rPr>
        <w:t>We consider consumer members “active” commencing on the date such member initiates contact with a provider on our platform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their monthly, quarterly or bi-annual subscription plan expires, unless terminated early.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Unique Payor Active Members: </w:t>
      </w:r>
      <w:r>
        <w:rPr>
          <w:rFonts w:ascii="Times New Roman" w:cs="Times New Roman" w:eastAsia="Times New Roman" w:hAnsi="Times New Roman"/>
          <w:sz w:val="18"/>
          <w:szCs w:val="18"/>
          <w:color w:val="auto"/>
        </w:rPr>
        <w:t>Represents unique users who had a session completed during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from services provided to individuals who are qualified to receive access to the Company's services through our commercial arrangements with health insurance plans, employee assistance organizations and enterprises. We also generate revenue from the sale of monthly, quarterly, bi-annual and annual membership subscriptions to the Company's therapy platform as well as supplementary a la carte offerings directly to individual consumers through a subscription plan. See Note 3, “Revenue Recognition” in the notes to the condensed consolidated financial statements for further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growth is generated from a combination of increasing utilization within our Payor members and expanding enterprise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excluding depreciation and amortization</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Cost of revenue is comprised primarily of therapist payments. Cost of revenue is largely driven by the number of sessions and the size of our provider network that is required to service the growth of our Payor and DTE customers, in addition to the growth of our customer base.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expect to make increased investments to support accelerated growth and scale our provider network, we also expect increased efficiencies and economies of scale. Our cost of revenue as a percentage of revenue is expected to fluctuate from period to period depending on the interplay of these factors as well as pricing fluctuations.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 Research and development expenses exclude amounts reflected as capitalized internal-use software development costs.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participation in trade shows, brand messaging and costs of communications materials that are produced for our customers to generate greater awareness and utilization of our platform among our Payor and DTE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certain executives, finance, accounting, legal and human resources functions, as well as professional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 primarily of depreciation expense on capitalized internal use-software costs, computer and equipment and amortization of intangible asset.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net</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Financial income, net includes the impact from (i) interest earned in investments in marketable securities and other highly liquid investments, (ii) non-cash changes in the fair value of our warrant liabilities, and (iii) other financial expenses in connection with bank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17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Taxes on income consists of U.S. income taxes related to income generated by our U.S. subsidiary and foreign income taxes related to income generated by our subsidiary organized under the laws of Israel. Taxes on income were not material for the three and nine months ended September 30, 2025 and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three and nine months ended September 30, 2025 and 2024 and the dollar and percentage change between the respective periods: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80" w:type="dxa"/>
            <w:vAlign w:val="bottom"/>
          </w:tcPr>
          <w:p>
            <w:pPr>
              <w:spacing w:after="0"/>
              <w:rPr>
                <w:sz w:val="15"/>
                <w:szCs w:val="15"/>
                <w:color w:val="auto"/>
              </w:rPr>
            </w:pPr>
          </w:p>
        </w:tc>
        <w:tc>
          <w:tcPr>
            <w:tcW w:w="25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9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6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6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Payor revenue</w:t>
            </w: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45,512</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32,039</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13,473</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123,855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90,492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33,363</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DTE revenue</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9,260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9,370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2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 revenue</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4,609</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5,990</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(1,381)</w:t>
            </w:r>
          </w:p>
        </w:tc>
        <w:tc>
          <w:tcPr>
            <w:tcW w:w="2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19,470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(5,698)</w:t>
            </w:r>
          </w:p>
        </w:tc>
        <w:tc>
          <w:tcPr>
            <w:tcW w:w="2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59,381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47,399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165,873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Costs and operating expenses:</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Cost of revenue, excluding</w:t>
            </w:r>
          </w:p>
        </w:tc>
        <w:tc>
          <w:tcPr>
            <w:tcW w:w="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34,741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25,667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94,447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74,236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20,211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1,784</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2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8,048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2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8"/>
        </w:trPr>
        <w:tc>
          <w:tcPr>
            <w:tcW w:w="2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Clinical operations, net</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13,245</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12,295</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41,423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38,535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2,888</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5,132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16,024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(1,642)</w:t>
            </w:r>
          </w:p>
        </w:tc>
        <w:tc>
          <w:tcPr>
            <w:tcW w:w="2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686</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costs and operating expenses</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57,183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9,883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143,939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1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(5,066)</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4,389</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Financial income, net</w:t>
            </w: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16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(1,701)</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(3,929)</w:t>
            </w:r>
          </w:p>
        </w:tc>
        <w:tc>
          <w:tcPr>
            <w:tcW w:w="1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before income taxes</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3,276</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3,195</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3,251</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3,094</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 increased by $12.0 million, or 25.3% for the three months ended September 30, 2025 compared to the three months ended September 30, 2024, primarily due to a 42.1% increase in Payor revenue, partially offset by a 23.1% decline in Consumer revenue. The increase in revenue from our Payor customers is primarily due to a 36.6% increase in number of completed Payor sessions as a result of an increase in active payor members of 29.1% and an increase in the number of health plan customers of 30.8%. Consumer subscription revenue decreased by $1.4 million, or 23.1% for the three months ended September 30, 2025 compared to the three months ended September 30, 2024, primarily due to a 25.9% decline in Consumer active members due to the Company's intentional and strategic decision to optimize and focus marketing efforts on attracting Payor members.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 increased by $27.0 million, or 19.4% for the nine months ended September 30, 2025 compared to the nine months ended September 30, 2024, primarily due to a 36.9% increase in Payor revenue, partially offset by a 29.3% decline in Consumer revenue. The increase in revenue from our Payor customers is primarily due to a 29.8% increase in number of completed Payor sessions as a result of an increase in active payor members of 29.1% and an increase in the number of health plan customers of 30.8%. Consumer subscription revenue decreased by $5.7 million, or 29.3% for the nine months ended September 30, 2025 compared to the nine months ended September 30, 2024, primarily due to a 25.9% decline in Consumer active members due to the Company's intentional and strategic decision to optimize and focus marketing efforts on attracting Payor members.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the increase in revenue for the three and nine months ended September 30, 2025 compared to the three and nine months ended September 30, 2024 was primarily driven by a shift in revenue mix towards Payor, and while we no longer have marketing resources dedicated solely to the Consumer category, it continues to have a positive contribution to our financial results.</w:t>
      </w: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excluding depreciation and amortization. </w:t>
      </w:r>
      <w:r>
        <w:rPr>
          <w:rFonts w:ascii="Times New Roman" w:cs="Times New Roman" w:eastAsia="Times New Roman" w:hAnsi="Times New Roman"/>
          <w:sz w:val="18"/>
          <w:szCs w:val="18"/>
          <w:color w:val="auto"/>
        </w:rPr>
        <w:t>Cost of revenue, excluding depreciation and amortization, increased by $9.1 million, or 35.4%,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$34.7 million for the three months ended September 30, 2025 from $25.7 million for the three months ended September 30, 2024 and increased by $20.2 million, or 27.2%, to $94.4 million for the nine months ended September 30, 2025 from $74.2 million for the nine months ended September 30, 2024. The increase in cost of revenue for the three and nine months ended September 30, 2025, was primarily due to increased hours worked by therapists as a result of increased Payor sessions.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by $0.5 million, or 22.4%, to $1.8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2025 from $2.3 million for the three months ended September 30, 2024. The decrease in research and development expenses for the three months ended September 30, 2025 was primarily due to a decrease in employee-related costs, inclusive of non-cash stock compensation expense of $0.4 million, as a result of the exclusion of amounts reflected as capitalized internal-use software development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$0.9 million, or 10.7%, to $7.2 million for the nine months ended September 30, 2025 from $8.1 million for the nine months ended September 30, 2024. The decrease in research and development expenses for the nine months ended September 30, 2025 was primarily due to a decrease in employee related costs, inclusive of non-cash stock compensation expense of $0.8 million, as a result of the exclusion of amounts reflected as capitalized internal-use software development costs.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operations expenses. </w:t>
      </w:r>
      <w:r>
        <w:rPr>
          <w:rFonts w:ascii="Times New Roman" w:cs="Times New Roman" w:eastAsia="Times New Roman" w:hAnsi="Times New Roman"/>
          <w:sz w:val="18"/>
          <w:szCs w:val="18"/>
          <w:color w:val="auto"/>
        </w:rPr>
        <w:t>Clinical operations expenses were $1.6 million for the three months ended September 30, 2025 compared to $1.7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September 30, 2024. Clinical operations expenses increased by $0.6 million, or 12.8% to $5.4 million for the nine months ended September 30, 2025 from $4.8 million for the nine months ended September 30, 2024. The increase in clinical operations expenses for the nine months ended September 30, 2025 was primarily due to an increase in employee-related costs, inclusive of non-cash stock compensation expense of $0.6 million.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by $0.9 million, or 7.7%, to $13.2 million for the three months ended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2025 from $12.3 million for the three months ended September 30, 2024. The increase in sales and marketing expenses for the three months ended September 30, 2025 was primarily driven by an increase in direct marketing and promotional costs of $1.1 million.</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$2.9 million, or 7.5%, to $41.4 million for the nine months ended September 30, 2025 from $38.5 million for the nine months ended September 30, 2024. The increase in sales and marketing expenses for the nine months ended September 30, 2025 was primarily driven by an increase in direct marketing and promotional costs of $3.6 million, partially offset by a decrease in employee-related costs, inclusive of non-cash stock compensation expense of $0.7 million.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$5.1 million for the three months ended September 30, 2025 and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by $1.6 million, or 9.3%, to $16.0 million for the nine months ended September 30, 2025 from $17.6 million for the nine months ended September 30, 2024. The decrease in general and administrative expenses for the nine months ended September 30, 2025 was primarily due to a decrease in severance payments related to the departure of certain key executives of the Company in 2024 of $1.8 million.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increased by $0.5 million, or 197.0%, to $0.7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2025 from $0.2 million for the three months ended September 30, 2024 and increased by $1.4 million, or 215.0%, to $2.1 million for the nine months ended September 30, 2025 from $0.7 million for the nine months ended September 30, 2024. The increase in depreciation and amortization expenses for the three and nine months ended September 30, 2025 was primarily due an increase in amortization expense related to capitalized internal-use software assets of $0.5 million and $1.4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income, net decreased by $0.6 million, or 36.6%, to $1.1 million for the three months ended September 30, 2025 from $1.7 million for the three months ended September 30, 2024. The decrease in financial income, net was primarily due to a decrease in interest income earned on marketable securities and other highly liquid investments of $0.4 million due to a reduction in interest rates.</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Financial income, net decreased by $1.2 million, or 23.3%, to $3.9 million for the nine months ended September 30, 2025 from $5.1 million nine months ended September 30, 2024. The decrease in financial income, net was primarily due to a decrease in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earned on marketable securities and other highly liquid investments of $1.1 million due to a reduction in interest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was immaterial for the three and nine months ended September 30,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income (loss) before income taxes, net income (loss), income (loss) per share, or any other performance measures derived in accordance with U.S. GAAP. When evaluating our performance, you should consider adjusted EBITDA alongside other financial performance measures, including our net income (loss) and other GAAP results.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reconciliation is provided below for adjusted EBITDA to net income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 We do not provide a forward-looking reconciliation of adjusted EBITDA guidance as the amount and significance of the reconciling items required to develop meaningful comparable GAAP financial measures cannot be estimated at this time without unreasonable efforts. These reconciling items could be meaningful.</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(i) depreciation and amortization, (ii) stock-based compensation expense, (iii) financial income, net, (iv) income tax expense, and (v) certain non-recurring expenses, where applicable. The following table presents a reconciliation of adjusted EBITDA from the most comparable GAAP measure, net income (loss) for the three and nine months ended September 30,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0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(1,078)</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(5,123)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Non-recurring expenses </w:t>
            </w:r>
            <w:r>
              <w:rPr>
                <w:rFonts w:ascii="Times New Roman" w:cs="Times New Roman" w:eastAsia="Times New Roman" w:hAnsi="Times New Roman"/>
                <w:sz w:val="24"/>
                <w:szCs w:val="24"/>
                <w:color w:val="auto"/>
                <w:vertAlign w:val="superscript"/>
              </w:rPr>
              <w:t>(1)</w:t>
            </w:r>
          </w:p>
        </w:tc>
        <w:tc>
          <w:tcPr>
            <w:tcW w:w="16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40" w:type="dxa"/>
            <w:vAlign w:val="bottom"/>
          </w:tcPr>
          <w:p>
            <w:pPr>
              <w:spacing w:after="0"/>
              <w:rPr>
                <w:sz w:val="24"/>
                <w:szCs w:val="24"/>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-967740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-967740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-967740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-967740</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5" w:lineRule="exact"/>
        <w:rPr>
          <w:sz w:val="20"/>
          <w:szCs w:val="20"/>
          <w:color w:val="auto"/>
        </w:rPr>
      </w:pPr>
    </w:p>
    <w:p>
      <w:pPr>
        <w:ind w:left="1020" w:hanging="503"/>
        <w:spacing w:after="0" w:line="261"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September 30, 2025, non-recurring expenses primarily consisted of acquisition related expenses. For the nine months ended September 30, 2025, non-recurring expenses primarily consisted of severance costs, one-time litigation fees and acquisition related expenses.</w:t>
      </w:r>
    </w:p>
    <w:p>
      <w:pPr>
        <w:sectPr>
          <w:pgSz w:w="11900" w:h="16838" w:orient="portrait"/>
          <w:cols w:equalWidth="0" w:num="1">
            <w:col w:w="11240"/>
          </w:cols>
          <w:pgMar w:left="320" w:top="774" w:right="339" w:bottom="1440" w:gutter="0" w:footer="0" w:header="0"/>
        </w:sectPr>
      </w:pPr>
    </w:p>
    <w:p>
      <w:pPr>
        <w:spacing w:after="0" w:line="3" w:lineRule="exact"/>
        <w:rPr>
          <w:sz w:val="20"/>
          <w:szCs w:val="20"/>
          <w:color w:val="auto"/>
        </w:rPr>
      </w:pPr>
    </w:p>
    <w:p>
      <w:pPr>
        <w:ind w:right="460" w:firstLine="978"/>
        <w:spacing w:after="0" w:line="261" w:lineRule="auto"/>
        <w:rPr>
          <w:sz w:val="20"/>
          <w:szCs w:val="20"/>
          <w:color w:val="auto"/>
        </w:rPr>
      </w:pPr>
      <w:r>
        <w:rPr>
          <w:rFonts w:ascii="Times New Roman" w:cs="Times New Roman" w:eastAsia="Times New Roman" w:hAnsi="Times New Roman"/>
          <w:sz w:val="15"/>
          <w:szCs w:val="15"/>
          <w:color w:val="auto"/>
        </w:rPr>
        <w:t>For the three and nine months ended September 30, 2024, non-recurring expenses primarily consisted of severance costs related to key executives of the Company and other related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departure of</w:t>
      </w:r>
    </w:p>
    <w:p>
      <w:pPr>
        <w:spacing w:after="0" w:line="402" w:lineRule="exact"/>
        <w:rPr>
          <w:sz w:val="20"/>
          <w:szCs w:val="20"/>
          <w:color w:val="auto"/>
        </w:rPr>
      </w:pPr>
    </w:p>
    <w:p>
      <w:pPr>
        <w:sectPr>
          <w:pgSz w:w="11900" w:h="16838" w:orient="portrait"/>
          <w:cols w:equalWidth="0" w:num="2">
            <w:col w:w="9440" w:space="720"/>
            <w:col w:w="1080"/>
          </w:cols>
          <w:pgMar w:left="320" w:top="774"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we had $43.7 million of cash, cash equivalents and restricted cash ($76.7 million as of December 31, 2024), and $52.1 million in marketable securities ($41.1 million as of December 31, 2024) which we use to finance our operations and support a variety of growth initiatives and investments. We had no debt as of September 30, 2025 and as of December 31, 2024.</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enter into arrangements to acquire or invest in complementary businesses, services and technologies.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next 12 months and thereafter for the foreseeable future using available cash and cash equivalent balances.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for a total of $40.0 million. The Share Repurchase Program will remain in effect until the earliest: 1) the total authorized dollar amount of shares is repurchased or 2) August 1, 2026.</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repurchased and retired an aggregate of 3,516,677 and 6,577,115 shares, respectively, of its common stock for a total consideration of $8.8 million ($2.51 per share) and $17.2 million ($2.62 per share), respectively. As of September 30, 2025, $11.8 million remained available under the Share Repurchase Program.</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repurchases may be completed periodically through various methods in compliance with applicable state and federal securities laws and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repurchased will be canceled. The program does not obligate the Company to repurchase any dollar amount or number of shares, and may be suspended or terminated at any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“Capital Stock” in the notes to the condensed consolidated financial statements for further details.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Investing and 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condensed consolidated cash flow information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3460" w:type="dxa"/>
            <w:vAlign w:val="bottom"/>
            <w:tcBorders>
              <w:bottom w:val="single" w:sz="8" w:color="auto"/>
            </w:tcBorders>
            <w:gridSpan w:val="5"/>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vMerge w:val="continue"/>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shd w:val="clear" w:color="auto" w:fill="CFF0FC"/>
          </w:tcPr>
          <w:p>
            <w:pPr>
              <w:jc w:val="right"/>
              <w:ind w:right="111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(17,702)</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(3,837)</w:t>
            </w:r>
          </w:p>
        </w:tc>
        <w:tc>
          <w:tcPr>
            <w:tcW w:w="0" w:type="dxa"/>
            <w:vAlign w:val="bottom"/>
          </w:tcPr>
          <w:p>
            <w:pPr>
              <w:spacing w:after="0"/>
              <w:rPr>
                <w:sz w:val="1"/>
                <w:szCs w:val="1"/>
                <w:color w:val="auto"/>
              </w:rPr>
            </w:pPr>
          </w:p>
        </w:tc>
      </w:tr>
      <w:tr>
        <w:trPr>
          <w:trHeight w:val="216"/>
        </w:trPr>
        <w:tc>
          <w:tcPr>
            <w:tcW w:w="71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(18,495)</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0"/>
        </w:trPr>
        <w:tc>
          <w:tcPr>
            <w:tcW w:w="7120" w:type="dxa"/>
            <w:vAlign w:val="bottom"/>
            <w:tcBorders>
              <w:right w:val="single" w:sz="8" w:color="CFF0FC"/>
            </w:tcBorders>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40" w:type="dxa"/>
            <w:vAlign w:val="bottom"/>
          </w:tcPr>
          <w:p>
            <w:pPr>
              <w:jc w:val="right"/>
              <w:ind w:right="111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(33,039)</w:t>
            </w:r>
          </w:p>
        </w:tc>
        <w:tc>
          <w:tcPr>
            <w:tcW w:w="142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decline in net cash provided by operating activities was primarily due to timing of customer payments which increased accounts receivable, partially offset by net income for the nine months ended September 30, 2025 compared to net loss for the nine months ended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investing activities was driven primarily by purchases of marketable securities and an increase in capitalized internal-use software development costs, partially offset by proceeds from maturities of marketable securities during the nine months ended September 30, 2025 compared to the nine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financing activities was driven primarily by an increase in the purchase of outstanding shares of the Company’s common stock under the Share Repurchase Program, partially offset by a decrease in proceeds from the exercise of stock options during the nine months ended September 30, 2025 compared to the nine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we did not have any short-term or long-term debt, or significant long-term liabilities. As of September 30, 2025, we have a non-material long-term operating lease for our office space in New York, NY.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As of September 30, 2025 there were no material legal proceedings, claims or litigation.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requiring us to indemnify customers against liabilities if there is a breach of a customer’s data or if our service infringes a third party’s intellectual property rights. To date, we have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2024.</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accounting policies are essential to understanding and interpreting the financial results reported on the condensed consolidated financial statements. The significant accounting policies used in the preparation of the Company’s condensed consolidated financial statements are summarized in Note 2 to the audited consolidated financial statements in the Company’s Annual Report on Form 10-K for the year ended December 31, 2024.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there were no material changes to matters discussed under the heading “Critical Accounting Policies and Estimates” in Part II, Item 7 of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regarding recent accounting developments and their impact on our results can be found in Note 2, “Summary of Significant Accounting Policies and Estimates” in the audited consolidated financial statements included in the Company's Annual Report on Form 10-K for the year ended December 31, 2024 and in Note 2, “Significant Accounting Policies” in the notes to the condensed consolidated financial statements of this Quarterly Report on Form 10-Q.</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and uncertainties. Many important factors could cause actual future events to differ materially from the forward-looking statements in this Quarterly Report, including but not limited to: (i) rapid technological change in our industry; (ii) our ability to secure clients' contract renewals; (iii) our ability to maintain and expand our network of therapists, psychiatrists and other providers; (iv) a decline in the prevalence of enterprise-sponsored healthcare or the emergence of new technologies may adversely impact our DTE business; (v) if our or our vendors’ security measures fail or are breached; (vi) changes in healthcare laws, regulations or trends and our ability to operate in the heavily regulated healthcare industry; and (vii) the other factors, risks and uncertainties discussed in Part I, Item 1A, “Risk Factors” of the Company's Annual Report on Form 10-K for the fiscal year ended December 31, 2024 and subsequent quarterly reports on Form 10-Q, including this report.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read this Quarterly Report and the risk factors discussed in Part I, Item 1A, “Risk Factors” of the Company’s Annual Report on Form 10-K for the fiscal year ended December 31, 2024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on Form 10-Q or any forward-looking statements we may publicly make from time-to-time, whether as a result of any new information, future events or otherwise.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there were no material changes to the information contained in Part II, Item 7A of the Company’s Annual Report on Form 10-K for the year ended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Exchange Act Rules 13a-15(e) and 15d-15(e)) were effective as of September 30, 2025 to provide reasonable assurance that information required to be disclosed by the Company in reports filed or submitted under the Exchange Act is (i) 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of the Exchange Act) during the third quarter of 2025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Effectiveness of Controls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material pending legal proceedings as of September 30, 2025; for more details see Note 6, “Commitments and Contingent Liabilities” in the Notes to the Condensed Consolidated Financial Statements included in Part I, Item 1 of this Quarterly Report on Form 10-Q, which is incorporated herein by reference.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factors discussed under Part I, Item 1A. “Risk Factors” in the Company’s Annual Report on Form 10-K for the year ended December 31, 2024.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nine months ended September 30, 2025, there were no material changes to the information contained in Part I, Item 1A of the Company's Annual Report on Form 10-K for the year ended December 31,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is a summary of share repurchases for the three months ended September 30, 2025. See Note 7, “Capital Stock” in the Notes to the Condensed Consolidated Financial Statements included in Part I, Item 1 of this Quarterly Report on Form 10-Q, as well as the section entitled “Liquidity Capital Resources-Share Repurchase Program” in Part I, Item 2 of this Quarterly Report on Form 10-Q for information regarding our share repurchase program.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20" w:type="dxa"/>
            <w:vAlign w:val="bottom"/>
            <w:gridSpan w:val="4"/>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02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8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2"/>
                <w:szCs w:val="12"/>
                <w:color w:val="auto"/>
              </w:rPr>
            </w:pPr>
          </w:p>
        </w:tc>
        <w:tc>
          <w:tcPr>
            <w:tcW w:w="158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9"/>
        </w:trPr>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6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8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 (1)</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July 1 - 31</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477,066</w:t>
            </w:r>
          </w:p>
        </w:tc>
        <w:tc>
          <w:tcPr>
            <w:tcW w:w="3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477,066</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1 - 31</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3,027,111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3,027,111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September 1 - 30</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3,516,677</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3,516,677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$11.8 million remained available for share repurchases under the Share Repurchase Program as of September 30,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directors or officers, as defined in Securities Exchange Act Rule 16a-1(f), adopted, modified, or terminated a “Rule 10b5-1 trading arrangement” or a “non-Rule 10b5-1 trading arrangement,” as defined in Item 408 of Regulation S-K, during the three months ended September 30,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9" w:name="page30"/>
    <w:bookmarkEnd w:id="2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3"/>
          <w:szCs w:val="23"/>
          <w:b w:val="1"/>
          <w:bCs w:val="1"/>
          <w:color w:val="auto"/>
        </w:rPr>
        <w:t>EXHIBIT INDEX</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206"/>
        </w:trPr>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Furnished</w:t>
            </w:r>
          </w:p>
        </w:tc>
      </w:tr>
      <w:tr>
        <w:trPr>
          <w:trHeight w:val="215"/>
        </w:trPr>
        <w:tc>
          <w:tcPr>
            <w:tcW w:w="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9180" w:type="dxa"/>
            <w:vAlign w:val="bottom"/>
            <w:tcBorders>
              <w:bottom w:val="single" w:sz="8" w:color="auto"/>
            </w:tcBorders>
            <w:gridSpan w:val="5"/>
          </w:tcPr>
          <w:p>
            <w:pPr>
              <w:ind w:left="39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81"/>
        </w:trPr>
        <w:tc>
          <w:tcPr>
            <w:tcW w:w="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31.</w:t>
            </w:r>
            <w:r>
              <w:rPr>
                <w:rFonts w:ascii="Times New Roman" w:cs="Times New Roman" w:eastAsia="Times New Roman" w:hAnsi="Times New Roman"/>
                <w:sz w:val="15"/>
                <w:szCs w:val="15"/>
                <w:u w:val="single" w:color="auto"/>
                <w:color w:val="0000FF"/>
                <w:w w:val="98"/>
              </w:rPr>
              <w:t>1</w:t>
            </w:r>
          </w:p>
        </w:tc>
        <w:tc>
          <w:tcPr>
            <w:tcW w:w="20" w:type="dxa"/>
            <w:vAlign w:val="bottom"/>
            <w:tcBorders>
              <w:bottom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13a-14(a)/15d-14(a).</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5"/>
                <w:szCs w:val="15"/>
                <w:color w:val="0000FF"/>
                <w:w w:val="98"/>
              </w:rPr>
              <w:t>31.</w:t>
            </w:r>
            <w:r>
              <w:rPr>
                <w:rFonts w:ascii="Times New Roman" w:cs="Times New Roman" w:eastAsia="Times New Roman" w:hAnsi="Times New Roman"/>
                <w:sz w:val="15"/>
                <w:szCs w:val="15"/>
                <w:u w:val="single" w:color="auto"/>
                <w:color w:val="0000FF"/>
                <w:w w:val="98"/>
              </w:rPr>
              <w:t>2</w:t>
            </w:r>
          </w:p>
        </w:tc>
        <w:tc>
          <w:tcPr>
            <w:tcW w:w="20" w:type="dxa"/>
            <w:vAlign w:val="bottom"/>
            <w:tcBorders>
              <w:bottom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Rule 13a-14(a)/15d-14(a).</w:t>
            </w:r>
          </w:p>
        </w:tc>
        <w:tc>
          <w:tcPr>
            <w:tcW w:w="3800" w:type="dxa"/>
            <w:vAlign w:val="bottom"/>
          </w:tcPr>
          <w:p>
            <w:pPr>
              <w:spacing w:after="0"/>
              <w:rPr>
                <w:sz w:val="17"/>
                <w:szCs w:val="17"/>
                <w:color w:val="auto"/>
              </w:rPr>
            </w:pPr>
          </w:p>
        </w:tc>
        <w:tc>
          <w:tcPr>
            <w:tcW w:w="1140" w:type="dxa"/>
            <w:vAlign w:val="bottom"/>
            <w:gridSpan w:val="2"/>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5"/>
                <w:szCs w:val="15"/>
                <w:color w:val="0000FF"/>
                <w:w w:val="98"/>
              </w:rPr>
              <w:t>32.</w:t>
            </w:r>
            <w:r>
              <w:rPr>
                <w:rFonts w:ascii="Times New Roman" w:cs="Times New Roman" w:eastAsia="Times New Roman" w:hAnsi="Times New Roman"/>
                <w:sz w:val="15"/>
                <w:szCs w:val="15"/>
                <w:u w:val="single" w:color="auto"/>
                <w:color w:val="0000FF"/>
                <w:w w:val="98"/>
              </w:rPr>
              <w:t>1</w:t>
            </w:r>
          </w:p>
        </w:tc>
        <w:tc>
          <w:tcPr>
            <w:tcW w:w="20" w:type="dxa"/>
            <w:vAlign w:val="bottom"/>
            <w:tcBorders>
              <w:bottom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w:t>
            </w:r>
          </w:p>
        </w:tc>
        <w:tc>
          <w:tcPr>
            <w:tcW w:w="1140" w:type="dxa"/>
            <w:vAlign w:val="bottom"/>
            <w:gridSpan w:val="2"/>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5"/>
                <w:szCs w:val="15"/>
                <w:color w:val="0000FF"/>
                <w:w w:val="98"/>
              </w:rPr>
              <w:t>32.</w:t>
            </w:r>
            <w:r>
              <w:rPr>
                <w:rFonts w:ascii="Times New Roman" w:cs="Times New Roman" w:eastAsia="Times New Roman" w:hAnsi="Times New Roman"/>
                <w:sz w:val="15"/>
                <w:szCs w:val="15"/>
                <w:u w:val="single" w:color="auto"/>
                <w:color w:val="0000FF"/>
                <w:w w:val="98"/>
              </w:rPr>
              <w:t>2</w:t>
            </w:r>
          </w:p>
        </w:tc>
        <w:tc>
          <w:tcPr>
            <w:tcW w:w="20" w:type="dxa"/>
            <w:vAlign w:val="bottom"/>
            <w:tcBorders>
              <w:bottom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w:t>
            </w:r>
          </w:p>
        </w:tc>
        <w:tc>
          <w:tcPr>
            <w:tcW w:w="3940" w:type="dxa"/>
            <w:vAlign w:val="bottom"/>
            <w:gridSpan w:val="3"/>
          </w:tcPr>
          <w:p>
            <w:pPr>
              <w:spacing w:after="0"/>
              <w:rPr>
                <w:sz w:val="17"/>
                <w:szCs w:val="17"/>
                <w:color w:val="auto"/>
              </w:rPr>
            </w:pPr>
          </w:p>
        </w:tc>
        <w:tc>
          <w:tcPr>
            <w:tcW w:w="1140" w:type="dxa"/>
            <w:vAlign w:val="bottom"/>
            <w:gridSpan w:val="2"/>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w:t>
            </w:r>
          </w:p>
        </w:tc>
      </w:tr>
      <w:tr>
        <w:trPr>
          <w:trHeight w:val="208"/>
        </w:trPr>
        <w:tc>
          <w:tcPr>
            <w:tcW w:w="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101.INS</w:t>
            </w:r>
          </w:p>
        </w:tc>
        <w:tc>
          <w:tcPr>
            <w:tcW w:w="120" w:type="dxa"/>
            <w:vAlign w:val="bottom"/>
          </w:tcPr>
          <w:p>
            <w:pPr>
              <w:spacing w:after="0"/>
              <w:rPr>
                <w:sz w:val="18"/>
                <w:szCs w:val="18"/>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Instance Document-the instance document does not appear in the Interactive Data file because its XBRL tags are</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03"/>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101.SCH</w:t>
            </w:r>
          </w:p>
        </w:tc>
        <w:tc>
          <w:tcPr>
            <w:tcW w:w="120" w:type="dxa"/>
            <w:vAlign w:val="bottom"/>
          </w:tcPr>
          <w:p>
            <w:pPr>
              <w:spacing w:after="0"/>
              <w:rPr>
                <w:sz w:val="18"/>
                <w:szCs w:val="18"/>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 with Embedded Linkbase Documents.</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(as formatted as Inline XBRL and contained in Exhibit 101).</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Talkspace,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5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191"/>
        </w:trPr>
        <w:tc>
          <w:tcPr>
            <w:tcW w:w="35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5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5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0"/>
        </w:trPr>
        <w:tc>
          <w:tcPr>
            <w:tcW w:w="3580" w:type="dxa"/>
            <w:vAlign w:val="bottom"/>
          </w:tcPr>
          <w:p>
            <w:pPr>
              <w:spacing w:after="0"/>
              <w:rPr>
                <w:sz w:val="24"/>
                <w:szCs w:val="24"/>
                <w:color w:val="auto"/>
              </w:rPr>
            </w:pPr>
          </w:p>
        </w:tc>
        <w:tc>
          <w:tcPr>
            <w:tcW w:w="2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w:t>
            </w:r>
          </w:p>
        </w:tc>
        <w:tc>
          <w:tcPr>
            <w:tcW w:w="5080" w:type="dxa"/>
            <w:vAlign w:val="bottom"/>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Cohen, certify that:</w:t>
      </w:r>
    </w:p>
    <w:p>
      <w:pPr>
        <w:spacing w:after="0" w:line="22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191"/>
        </w:trPr>
        <w:tc>
          <w:tcPr>
            <w:tcW w:w="36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Harris,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5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6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September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6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191"/>
        </w:trPr>
        <w:tc>
          <w:tcPr>
            <w:tcW w:w="35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5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September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5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11"/>
        </w:trPr>
        <w:tc>
          <w:tcPr>
            <w:tcW w:w="35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2025-11-06T08:06:43Z</dcterms:created>
  <dcterms:modified xsi:type="dcterms:W3CDTF">2025-11-06T08:06:43Z</dcterms:modified>
</cp:coreProperties>
</file>