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216" w:lineRule="auto"/>
        <w:tabs>
          <w:tab w:leader="none" w:pos="480" w:val="left"/>
        </w:tabs>
        <w:numPr>
          <w:ilvl w:val="0"/>
          <w:numId w:val="1"/>
        </w:numPr>
        <w:rPr>
          <w:rFonts w:ascii="MS PGothic" w:cs="MS PGothic" w:eastAsia="MS PGothic" w:hAnsi="MS PGothic"/>
          <w:sz w:val="31"/>
          <w:szCs w:val="31"/>
          <w:color w:val="auto"/>
          <w:highlight w:val="black"/>
          <w:vertAlign w:val="superscript"/>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3" w:lineRule="exact"/>
        <w:rPr>
          <w:sz w:val="24"/>
          <w:szCs w:val="24"/>
          <w:color w:val="auto"/>
        </w:rPr>
      </w:pPr>
    </w:p>
    <w:p>
      <w:pPr>
        <w:ind w:left="480" w:right="260" w:hanging="459"/>
        <w:spacing w:after="0" w:line="220" w:lineRule="auto"/>
        <w:tabs>
          <w:tab w:leader="none" w:pos="480" w:val="left"/>
        </w:tabs>
        <w:numPr>
          <w:ilvl w:val="0"/>
          <w:numId w:val="2"/>
        </w:numPr>
        <w:rPr>
          <w:rFonts w:ascii="MS PGothic" w:cs="MS PGothic" w:eastAsia="MS PGothic" w:hAnsi="MS PGothic"/>
          <w:sz w:val="32"/>
          <w:szCs w:val="32"/>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19" w:lineRule="exact"/>
        <w:rPr>
          <w:sz w:val="24"/>
          <w:szCs w:val="24"/>
          <w:color w:val="auto"/>
        </w:rPr>
      </w:pPr>
    </w:p>
    <w:p>
      <w:pPr>
        <w:ind w:left="40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TALKSPACE, INC.</w:t>
      </w:r>
    </w:p>
    <w:p>
      <w:pPr>
        <w:sectPr>
          <w:pgSz w:w="11900" w:h="16838" w:orient="portrait"/>
          <w:cols w:equalWidth="0" w:num="1">
            <w:col w:w="11240"/>
          </w:cols>
          <w:pgMar w:left="320" w:top="229" w:right="339" w:bottom="1440" w:gutter="0" w:footer="0" w:header="0"/>
        </w:sectPr>
      </w:pPr>
    </w:p>
    <w:p>
      <w:pPr>
        <w:spacing w:after="0" w:line="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84-4636604</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2">
            <w:col w:w="7460" w:space="400"/>
            <w:col w:w="3380"/>
          </w:cols>
          <w:pgMar w:left="320" w:top="229" w:right="339" w:bottom="1440" w:gutter="0" w:footer="0" w:header="0"/>
          <w:type w:val="continuous"/>
        </w:sectPr>
      </w:pPr>
    </w:p>
    <w:tbl>
      <w:tblPr>
        <w:tblLayout w:type="fixed"/>
        <w:tblInd w:w="1500" w:type="dxa"/>
        <w:tblCellMar>
          <w:top w:w="0" w:type="dxa"/>
          <w:left w:w="0" w:type="dxa"/>
          <w:bottom w:w="0" w:type="dxa"/>
          <w:right w:w="0" w:type="dxa"/>
        </w:tblCellMar>
      </w:tblPr>
      <w:tr>
        <w:trPr>
          <w:trHeight w:val="252"/>
        </w:trPr>
        <w:tc>
          <w:tcPr>
            <w:tcW w:w="460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8"/>
              </w:rPr>
              <w:t>622 Third Avenue, New York, NY</w:t>
            </w:r>
          </w:p>
        </w:tc>
        <w:tc>
          <w:tcPr>
            <w:tcW w:w="2660" w:type="dxa"/>
            <w:vAlign w:val="bottom"/>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93"/>
        </w:trPr>
        <w:tc>
          <w:tcPr>
            <w:tcW w:w="460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122555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23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00" w:type="dxa"/>
            <w:vAlign w:val="bottom"/>
          </w:tcPr>
          <w:p>
            <w:pPr>
              <w:spacing w:after="0"/>
              <w:rPr>
                <w:sz w:val="21"/>
                <w:szCs w:val="21"/>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TALK</w:t>
            </w: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TALKW</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(Title of class)</w:t>
      </w:r>
    </w:p>
    <w:p>
      <w:pPr>
        <w:spacing w:after="0" w:line="163" w:lineRule="exact"/>
        <w:rPr>
          <w:sz w:val="24"/>
          <w:szCs w:val="24"/>
          <w:color w:val="auto"/>
        </w:rPr>
      </w:pPr>
    </w:p>
    <w:p>
      <w:pPr>
        <w:ind w:right="1540"/>
        <w:spacing w:after="0" w:line="331"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533"/>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vMerge w:val="restart"/>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28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vMerge w:val="restart"/>
          </w:tcPr>
          <w:p>
            <w:pPr>
              <w:ind w:left="2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128"/>
        </w:trPr>
        <w:tc>
          <w:tcPr>
            <w:tcW w:w="2120" w:type="dxa"/>
            <w:vAlign w:val="bottom"/>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52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20" w:type="dxa"/>
            <w:vAlign w:val="bottom"/>
          </w:tcPr>
          <w:p>
            <w:pPr>
              <w:ind w:left="1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25"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25"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25" w:lineRule="exact"/>
        <w:rPr>
          <w:sz w:val="20"/>
          <w:szCs w:val="20"/>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97" w:lineRule="exact"/>
        <w:rPr>
          <w:sz w:val="20"/>
          <w:szCs w:val="20"/>
          <w:color w:val="auto"/>
        </w:rPr>
      </w:pPr>
    </w:p>
    <w:p>
      <w:pPr>
        <w:spacing w:after="0" w:line="242" w:lineRule="exact"/>
        <w:tabs>
          <w:tab w:leader="none" w:pos="83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common stock held by non-affiliates of the Company at June 30, 2022 was $167.7 million based on the per share closing price of the Company's common stock on June 30, 2022 of $1.70.</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common stock outstanding on March 8, 2023 was 162,195,723.</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definitive Proxy Statement for the 2023 Annual Meeting of Stockholders to be filed by the Company pursuant to Regulation 14A is incorporated into Items 10, 11, 12, 13 and 14 of Part III of this Form 10-K.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Auditor Firm Id:</w:t>
            </w:r>
          </w:p>
        </w:tc>
        <w:tc>
          <w:tcPr>
            <w:tcW w:w="92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1281</w:t>
            </w:r>
          </w:p>
        </w:tc>
        <w:tc>
          <w:tcPr>
            <w:tcW w:w="154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Auditor Name:</w:t>
            </w:r>
          </w:p>
        </w:tc>
        <w:tc>
          <w:tcPr>
            <w:tcW w:w="4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xml:space="preserve">Kost Forer Gabbay &amp; Kasierer, a member of Ernst &amp;  </w:t>
            </w:r>
            <w:r>
              <w:rPr>
                <w:rFonts w:ascii="Times New Roman" w:cs="Times New Roman" w:eastAsia="Times New Roman" w:hAnsi="Times New Roman"/>
                <w:sz w:val="15"/>
                <w:szCs w:val="15"/>
                <w:b w:val="1"/>
                <w:bCs w:val="1"/>
                <w:color w:val="auto"/>
              </w:rPr>
              <w:t>Auditor Location:</w:t>
            </w:r>
          </w:p>
        </w:tc>
        <w:tc>
          <w:tcPr>
            <w:tcW w:w="2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Tel-Aviv, Israel</w:t>
            </w:r>
          </w:p>
        </w:tc>
      </w:tr>
      <w:tr>
        <w:trPr>
          <w:trHeight w:val="198"/>
        </w:trPr>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Young Global</w:t>
            </w:r>
          </w:p>
        </w:tc>
        <w:tc>
          <w:tcPr>
            <w:tcW w:w="2680" w:type="dxa"/>
            <w:vAlign w:val="bottom"/>
          </w:tcPr>
          <w:p>
            <w:pPr>
              <w:spacing w:after="0"/>
              <w:rPr>
                <w:sz w:val="17"/>
                <w:szCs w:val="17"/>
                <w:color w:val="auto"/>
              </w:rPr>
            </w:pPr>
          </w:p>
        </w:tc>
      </w:tr>
      <w:tr>
        <w:trPr>
          <w:trHeight w:val="157"/>
        </w:trPr>
        <w:tc>
          <w:tcPr>
            <w:tcW w:w="1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528"/>
        </w:trPr>
        <w:tc>
          <w:tcPr>
            <w:tcW w:w="1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tbl>
      <w:tblPr>
        <w:tblLayout w:type="fixed"/>
        <w:tblInd w:w="30" w:type="dxa"/>
        <w:tblCellMar>
          <w:top w:w="0" w:type="dxa"/>
          <w:left w:w="0" w:type="dxa"/>
          <w:bottom w:w="0" w:type="dxa"/>
          <w:right w:w="0" w:type="dxa"/>
        </w:tblCellMar>
      </w:tblPr>
      <w:tr>
        <w:trPr>
          <w:trHeight w:val="262"/>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920" w:type="dxa"/>
            <w:vAlign w:val="bottom"/>
            <w:gridSpan w:val="9"/>
          </w:tcPr>
          <w:p>
            <w:pPr>
              <w:ind w:left="2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0"/>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26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75"/>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6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2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3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help people everywhere to heal.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Talkspace, Inc. together with its consolidated subsidiaries (referred to herein as the “Company”, “we”, “our”, “us” or “Talkspace”) is a leading behavioral healthcare company that offers convenient and affordable access to a fully-credentialed network of licensed therapists, psychologists, and psychiatrists. Founded in 2012, and enabled by a purpose-built technology platform, we have connected millions of patients, who we refer to as our “members” with licensed mental health providers through messaging, video and audio.</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was originally incorporated as Hudson Executive Investment Corp. (“HEC”), a special purpose acquisition company, for the purpose of entering into a merger, share exchange, asset acquisition, stock purchase, recapitalization or other similar business combination with one or more businesses or entities. 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Company refers to this transaction as the Business Combination. In connection with the Business Combination, HEC filed the Certificate of Incorporation and changed its name to “Talkspace, Inc.”</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platform, we serve our business-to-business (“B2B”) channel, comprised of large enterprise clients such as Google and Expedia and large health plans and employee assistance programs such as Aetna, Cigna, Premera, and Optum, who offer their employees and insured members access to the Company's platform while their employer is under an active contract with Talkspace, or at in-network reimbursement rates, where applicable, and our business-to-consumer (“B2C”) channel, comprised of individual consumers who subscribe directly to the Company's platform.</w:t>
      </w:r>
    </w:p>
    <w:p>
      <w:pPr>
        <w:spacing w:after="0" w:line="1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Our psychiatry clinicians, may in their discretion, refer the member to a primary care provider or face-to-face psychiatrist if the clinical need arises, including to address potential needs for “controlled substances.” Talkspace does not prescribe controlled substances in accordance with the Drug Enforcement Administration (“DEA”) Ryan Haight Act.</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vast nationwide network of fully-credentialed providers across all 50 U.S. states. Our network is sustained and enhanced by an attractive value proposition to providers, including flexibility, convenience, efficiency, professional development opportunities and income. We also believe that our platform provides other benefits to providers through expanded reach, steady access to member leads, reduced administrative burdens, more efficient time utilization and data-driven insights. We designed our provider network to be scalable and to leverage a hybrid model of both employee providers and independently contracted providers to support multiple growth scenarios.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network is empowered to deliver what we believe will enable an enhanced care journey, higher member lifetime engagement, meaningful outcomes and greater margins when compared to face-to-face treatment. In pursuing our mission of helping people everywhere to heal, we aim to provide our members with high-quality behavioral healthcare, whether they are paying for the service directly or via coverage through a health plan, employee access program, or employer benefit.</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year ended December 31, 2022 our revenues were $119.6 million compared to $113.7 million for the year ended December 31, 2021. Completed B2B sessions related to members covered under our health plan clients during the year ended December 31, 2022 were approximately 426,400 compared to 273,700 completed B2B sessions for the year ended December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31, 2021. As of December 31, 2022, we had over 62,000 active members receiving care through our B2B and B2C channels, including over 92 million B2B eligible lives and 15,000 B2C active members compared to approximately 56,000 active members receiving care through our B2B and B2C channels, including approximately 69 million B2B eligible lives and 24,000 B2C active members as of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Offerings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platform, we provide psychotherapy and psychiatry services to individuals, enterprises (also referred to as "employers") and health plans through both B2B and B2C channels. In psychotherapy, or “talk therapy,” members work with a licensed therapist or counselor to treat specific mental health conditions like depression or anxiety, trauma and other human challenges, including by developing positive thinking and coping skills. In psychiatry, members receive personalized, expert care from a prescriber who specializes in mental healthcare and prescription management.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seeking to eliminate barriers in accessing and utilizing mental healthcare and offering providers technology-enabled tools to provide high-quality clinical care with a data-driven approach to treatment, we offer our members a robust ecosystem for end-to-end behavioral healthcare.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Psychotherapy</w:t>
      </w:r>
      <w:r>
        <w:rPr>
          <w:rFonts w:ascii="Times New Roman" w:cs="Times New Roman" w:eastAsia="Times New Roman" w:hAnsi="Times New Roman"/>
          <w:sz w:val="18"/>
          <w:szCs w:val="18"/>
          <w:color w:val="auto"/>
        </w:rPr>
        <w:t>: We offer text, audio and video-based psychotherapy from licensed therapists through employers and health plans in the B2B channel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to consumers in the B2C channel. Individual subscribers sign up for individual plans (i.e., Unlimited Messaging Therapy Plus, Unlimited Messaging Therapy Premium, Unlimited Messaging Therapy Ultimate, Talkspace Couples Therapy and Talkspace Teens Therapy) inclusive of text, video and audio messaging.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i w:val="1"/>
          <w:iCs w:val="1"/>
          <w:color w:val="auto"/>
        </w:rPr>
        <w:t>Talkspace for Business</w:t>
      </w:r>
      <w:r>
        <w:rPr>
          <w:rFonts w:ascii="Times New Roman" w:cs="Times New Roman" w:eastAsia="Times New Roman" w:hAnsi="Times New Roman"/>
          <w:sz w:val="18"/>
          <w:szCs w:val="18"/>
          <w:color w:val="auto"/>
        </w:rPr>
        <w:t xml:space="preserve">, employees access our platform services on a benefit plan paid by the employer. Through </w:t>
      </w:r>
      <w:r>
        <w:rPr>
          <w:rFonts w:ascii="Times New Roman" w:cs="Times New Roman" w:eastAsia="Times New Roman" w:hAnsi="Times New Roman"/>
          <w:sz w:val="18"/>
          <w:szCs w:val="18"/>
          <w:i w:val="1"/>
          <w:iCs w:val="1"/>
          <w:color w:val="auto"/>
        </w:rPr>
        <w:t>Talkspace Employee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Program </w:t>
      </w:r>
      <w:r>
        <w:rPr>
          <w:rFonts w:ascii="Times New Roman" w:cs="Times New Roman" w:eastAsia="Times New Roman" w:hAnsi="Times New Roman"/>
          <w:sz w:val="18"/>
          <w:szCs w:val="18"/>
          <w:color w:val="auto"/>
        </w:rPr>
        <w:t>(“EAP”) and</w:t>
      </w:r>
      <w:r>
        <w:rPr>
          <w:rFonts w:ascii="Times New Roman" w:cs="Times New Roman" w:eastAsia="Times New Roman" w:hAnsi="Times New Roman"/>
          <w:sz w:val="18"/>
          <w:szCs w:val="18"/>
          <w:i w:val="1"/>
          <w:iCs w:val="1"/>
          <w:color w:val="auto"/>
        </w:rPr>
        <w:t xml:space="preserve"> Talkspace Behavioral Health plan </w:t>
      </w:r>
      <w:r>
        <w:rPr>
          <w:rFonts w:ascii="Times New Roman" w:cs="Times New Roman" w:eastAsia="Times New Roman" w:hAnsi="Times New Roman"/>
          <w:sz w:val="18"/>
          <w:szCs w:val="18"/>
          <w:color w:val="auto"/>
        </w:rPr>
        <w:t>(“BH”), we contract with a number of U.S. health plans to provide online therapy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EAP and behavioral health benefits. Talkspace is also an accepted provider of behavioral health services by several large healthcare payors, including Aetna, Cigna, Premera and Optum.</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Psychiatry</w:t>
      </w:r>
      <w:r>
        <w:rPr>
          <w:rFonts w:ascii="Times New Roman" w:cs="Times New Roman" w:eastAsia="Times New Roman" w:hAnsi="Times New Roman"/>
          <w:sz w:val="18"/>
          <w:szCs w:val="18"/>
          <w:color w:val="auto"/>
        </w:rPr>
        <w:t>: Services are provided through health plans and employers and to consumers via the Talkspace platform. Typical packages include one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consultation, with follow-up video appointments as needed. Like the traditional face-to-face model, Talkspace providers can prescribe medication they deem necessary up and until the point, that in the providers discretion, the member requires a face-to-face provider for potential need of those prescriptions labeled a “controlled substance” under the federal Controlled Substances Act. Our psychiatry services are comprised of board-certified psychiatrists, as well as prescription-eligible nurse practitioners who may supplement the psychiatrist in follow-up visits and act in a medication management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pursuit of our mission to expand access to all individuals in need of behavioral services, we strive to deliver effective care to a broad range of customers through both our B2B and B2C channels.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B2B channel, we serve our health plan clients and enterprise clients and their respective employees and members through multiple offerings.</w:t>
      </w:r>
    </w:p>
    <w:p>
      <w:pPr>
        <w:spacing w:after="0" w:line="115" w:lineRule="exact"/>
        <w:rPr>
          <w:sz w:val="20"/>
          <w:szCs w:val="20"/>
          <w:color w:val="auto"/>
        </w:rPr>
      </w:pPr>
    </w:p>
    <w:p>
      <w:pPr>
        <w:jc w:val="both"/>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Plan Clients</w:t>
      </w:r>
      <w:r>
        <w:rPr>
          <w:rFonts w:ascii="Times New Roman" w:cs="Times New Roman" w:eastAsia="Times New Roman" w:hAnsi="Times New Roman"/>
          <w:sz w:val="18"/>
          <w:szCs w:val="18"/>
          <w:color w:val="auto"/>
        </w:rPr>
        <w:t>: Through our EAP offering, we contract with major payor clients who are contracted with employers to deliver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this solution, we are able to provide therapy and psychiatry services for our clients’ employees, who then pay a flat rate per session or interaction, of which we receive a portion of the fee. Through our BH offering, our members receive care directly covered through their individual health plan where our providers are considered in-network. A representative sample of our health plan clients include Aetna, Cigna, Optum and Premera.</w:t>
      </w:r>
    </w:p>
    <w:p>
      <w:pPr>
        <w:spacing w:after="0" w:line="75" w:lineRule="exact"/>
        <w:rPr>
          <w:rFonts w:ascii="Times New Roman" w:cs="Times New Roman" w:eastAsia="Times New Roman" w:hAnsi="Times New Roman"/>
          <w:sz w:val="18"/>
          <w:szCs w:val="18"/>
          <w:color w:val="auto"/>
        </w:rPr>
      </w:pPr>
    </w:p>
    <w:p>
      <w:pPr>
        <w:jc w:val="both"/>
        <w:ind w:left="760" w:hanging="378"/>
        <w:spacing w:after="0" w:line="26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Enterprise Clients</w:t>
      </w:r>
      <w:r>
        <w:rPr>
          <w:rFonts w:ascii="Times New Roman" w:cs="Times New Roman" w:eastAsia="Times New Roman" w:hAnsi="Times New Roman"/>
          <w:sz w:val="18"/>
          <w:szCs w:val="18"/>
          <w:color w:val="auto"/>
        </w:rPr>
        <w:t>: Through our direct-to-employer offering, we contract directly with employers to provide their employees unlimited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synchronous and asynchronous care primarily on a per-member-per-month (“PMPM”) basis. A representative sample of our enterprise clients include Accenture, Expedia and Google.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are increasingly chosen as a preferred vendor for higher education and government clients. Through our contracts with colleges, universities and Greek letter organizations, we provide mental health solutions to students and student athletes across the United States. We additionally hold a number of employer benefits and EAP relationships with municipalities across the United States. As of December 31, 2022, we had approximately 92 million eligible lives within our B2B channel.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our B2C channel, we serve a diverse customer base, with members from all socioeconomic backgrounds, ages, genders, ethnicities, geographies and income level. Further, with both psychotherapy and psychiatry professionals, along with a</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suite of self-help tools, our platform is designed to address the needs of members across a broad range of acuities. As of December 31, 2022, we had over 15,000 B2C active members located across all 50 U.S. states and select international markets. B2C members may cancel their subscription at any time and will receive a pro-rata refund for the subscription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virtual therapy offers an attractive opportunity to improve behavioral health through data science and machine learning. Through digital phenotyping and predictive modeling, the data imprint left by interactions on our platform opens a new, quantitative viewpoint into the behavioral condition of our members. By securely leveraging our unique dataset to identify patterns, which is augmented by advanced, data-driven tools to personalize care, we believe we are able to optimize clinical outcomes. We have designed our technology platform and information practices to achieve and maintain compliance with HIPAA and other legal requirements regarding the confidentiality of patient information. We maintain a written privacy and information security management program, led by designated subject matter experts, in order to (i) limit how we use and disclose protected health information of the members who utilize our technology platform or therapeutic services, (ii) implement reasonable administrative, physical, and technical safeguards to protect such information from misuse, and (iii) assist our customers with certain duties such as access to information under the privacy standards, among other program elements. We require our agents and subcontractors who have access to such information to enter into written agreements that require them to meet the same standards for security and privacy. We obtain third-party examinations of our controls relating to security and data privacy. In particular, we regularly obtain a Type II Service Organization Control SOC 2 report (Reporting on Controls at a Service Organization relevant to security, availability and privacy). We also retain outside consultants to regularly assess our vulnerability through penetration testing and analysis of our compliance with the HIPAA Security Rule.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depicts the technology-enabled process flow that supports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154305</wp:posOffset>
            </wp:positionV>
            <wp:extent cx="4877435" cy="2082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7743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Matching algorithm</w:t>
      </w:r>
      <w:r>
        <w:rPr>
          <w:rFonts w:ascii="Times New Roman" w:cs="Times New Roman" w:eastAsia="Times New Roman" w:hAnsi="Times New Roman"/>
          <w:sz w:val="18"/>
          <w:szCs w:val="18"/>
          <w:color w:val="auto"/>
        </w:rPr>
        <w:t>: We utilize machine learning to predict a provider’s efficacy at onboarding. Our matching algorithm combines information from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structured and unstructured sources to predict which therapists have the greatest chance of success with each patient. Our matching model concurrently gathers client and therapist data and screens the therapists’ population to match the patient’s characteristics, clinical needs and preferences. Our machine learning technology also enables us to track the frequency and quality of clinical interactions, allowing us to provide a better therapist match should the patient request a new clinician.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Robust data ecosystem</w:t>
      </w:r>
      <w:r>
        <w:rPr>
          <w:rFonts w:ascii="Times New Roman" w:cs="Times New Roman" w:eastAsia="Times New Roman" w:hAnsi="Times New Roman"/>
          <w:sz w:val="18"/>
          <w:szCs w:val="18"/>
          <w:color w:val="auto"/>
        </w:rPr>
        <w:t>: We have a closed-loop data ecosystem providing a multi-dimensional view of the individuals who seek treatment on our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data provides a holistic picture of each user – the problems they manifest, diagnoses, treatment plans, medical history, personal history, and clinical outcomes. Our data contain over 6 billion words sent by millions of users over 110 million anonymized messages. We have approximately 4 million completed psychological assessments. Our data contain information about members collected by therapists, including approximately 700,000 diagnoses and over 1 million progress and psychotherapy notes. Our data also contains information about therapists reported by members, including over 1 million therapist ratings. We believe the size and depth of our clinical data is vast relative to the industry and is a differentiating element of our digitally-native modality.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Empowering providers to deliver enhanced care</w:t>
      </w:r>
      <w:r>
        <w:rPr>
          <w:rFonts w:ascii="Times New Roman" w:cs="Times New Roman" w:eastAsia="Times New Roman" w:hAnsi="Times New Roman"/>
          <w:sz w:val="18"/>
          <w:szCs w:val="18"/>
          <w:color w:val="auto"/>
        </w:rPr>
        <w:t>: Our providers are equipped with tools that allow them to optimize time utilization and improve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One of the leading challenges in behavioral healthcare is a patient’s premature termination of engagement with the provider and, thus, a core focus of our machine learning strategy is to drive member engagement and increase care continuity, helping members to continue treatment long enough to reap its benefits. In order to extend the lifetime duration of our member base, we provide our providers insights on their patients’ needs and behaviors and offer techniques and suggestions that we believe are likely to maximize their patients’ satisfaction and engagement. These insights, delivered through our fully-integrated data intelligence platform, help providers to deliver effective treatments to their patients, and raise members’ awareness when tracking their own clinical progress.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Performance tracking and feedback</w:t>
      </w:r>
      <w:r>
        <w:rPr>
          <w:rFonts w:ascii="Times New Roman" w:cs="Times New Roman" w:eastAsia="Times New Roman" w:hAnsi="Times New Roman"/>
          <w:sz w:val="18"/>
          <w:szCs w:val="18"/>
          <w:color w:val="auto"/>
        </w:rPr>
        <w:t>: Our “Intro and Expectations” system detects whether providers have followed best practices in the crucial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introductory phase of the therapy relationship and reminds them to do so if they have not. Our “Crisis Risk system” monitors all incoming members’ messages for linguistic features associated with potential danger or self-harm and draws providers’ attention to these cases. Our “Session Highlights system” provides a weekly digest of patient messages and helps therapists draft notes on clinical progress.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view as competitors those companies whose primary business is developing and marketing telehealth and virtual behavioral health platforms and services. Competition focuses on, among other factors, technology, breadth and depth of functionality, range of associated services, operational experience, customer support, extent of client and member bases, and reputation. Our key competitors in the telehealth and teletherapy markets are American Well Corporation, Teladoc, Included Health, MDLive, BetterHelp, Lyra Health and Headspace, among other small industry participants.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large, well-financed health systems and health plans have in some cases developed their own virtual behavioral health tools and may provide these solutions to their consumer at discounted prices. In the future we may face competition from large technology companies, such as Apple, Amazon, Meta, Verizon, or Microsoft, who may wish to develop their own virtual behavioral health solutions, as well as from large retailers like Amazon or Walmart. With the emergence of COVID-19, and in particular the relaxation of privacy and security requirements under the Health Insurance Portability and Accountability Act of 1996 (“HIPAA”), we have also seen increased competition from providers who utilize consumer-grade video solutions, such as Zoom Video and Twilio. We believe that the breadth of our existing client and member bases, the depth of our technology platform, and our business-to-business focus on promoting existing healthcare brands and integrating freely with multiple platforms increases the likelihood that stakeholders seeking to develop virtual behavioral healthcare solutions will choose instead to collaborate with Talkspace.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Therapists, Physicians and Healthcare Professionals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we completed the transition of our structure with respect to our relationships with healthcare providers, transitioning to a structure where Talkspace LLC, our wholly-owned subsidiary, has entered into various agreements with Talkspace Provider Network, PA ("TPN"), a Texas professional association entity, which in turn contracts with our affiliated professional entities and physicians, therapists, and other licensed professionals for clinical and professional services provided to our members. As part of this transition, Talkspace LLC is party to various Management Services Agreements (“MSAs”) with TPN and our affiliated professional entities. Pursuant to the MSAs, Talkspace LLC is the managing entity (the “Manager”) and provides management and administrative resources and services essential to the operations of these entities and receives a management fee for these services and reimbursement of expenses incurred. TPN and our affiliated professional entities in turn have the obligation under the MSAs to engage all licensed physicians and other health professionals to provide behavioral healthcare services to our members.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transition to a structure where we operate under various MSAs with professional associations and professional corporations authorized by state law to contract with affiliated professionals to delivery teletherapy services to its members, helps ensure we are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or our other affiliated professional entities, where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“Variable Interest Entities” in the notes to the consolidated financial statements for further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workforce is critical to the creation and delivery of its services and the success of the company. Our ability to attract, develop and retain talented employees with the skills and capabilities needed by our business is a key component of our long-term growth and our mission of providing more people with convenient access to quality, affordable behavioral healthcare.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views full-time employees and independently contracted providers as its total workforce, as well as the various formal and informal programs and resources to support, recruit, train and retain its workforce. The Company's human capital network includes, but is not limited to, employee and independently contracted providers (licensed therapists, psychologists, psychiatrists), as well as employees in various support functions throughout the Company. The human capital needs and strategy of our business is overseen by the Company's Board of Directors and Chief Executive Officer and supported by the Company’s Human Resources Department, which reports directly to the Chief Executive Officer.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339 employees comprised of 129 providers and 210 professionals supporting the accounting, finance, technology, sales, marketing and other support functions and 3,203 independently contracted providers. With providers comprising a considerable segment of the Company’s workforce base, we believe they are a significant human capital resource for the Company, and, accordingly, we view their recruitment, retention, compensation and productivity as important to the success of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Tone at the top is what drives us. We are committed to maintaining a respectful, secure and supportive workplace culture with open communication and accessible, safe channels for feedback. In addition, all employees are required to complete training and affirm compliance with the Talkspace Code of Business Conduct and Ethics (the “Code”), which confirms the Company’s policy to conduct its affairs in compliance with all applicable laws and regulations and observe the highest standards of business ethics. The Code is reviewed regularly by the Audit Committee and approved by the Board of Directors and is complemented by other policies and training. Any violations of our Code are encouraged to be immediately reported and are kept anonymously.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Talkspace is committed to creating and maintaining a workplace in which all employees have an opportunity to participate and contribute to the success of the business. Talkspace provides equal employment opportunities to all employees and applicants for employment without regard to race, color, ancestry, national origin, gender, sexual orientation, marital status, religion, age, disability, gender identity, results of genetic testing, or service in the military. Equal employment opportunity applies to all terms and conditions of employment, including hiring, placement, promotion, separation, transfers, compensation, and training. The Company is committed to cultivating diversity and broadening opportunities for inclusion across its business through its recruitment practices, employee development and mentoring and inclusivity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committed to hiring the most qualified candidates to fill open positions. Whenever appropriate and possible, open positions are filled with internal candidates to help team members in their career development and enrich a culture of growth. Compensation and benefits programs are focused on attracting, retaining and motivating the top talent necessary to achieve the Company’s mission in ways that reflect its diverse workforce’s needs and priorities. In addition to competitive salaries, the Company and its businesses have established short and long-term incentive programs including stock-based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awards and cash-based performance bonus awards, which are designed to motivate and reward performance against key business objectives and facilitate retention. Performance bonus allocations are provided based on the organization meeting its financial goals, the employee achieving goals set by their supervisor, and per the employment agreements and/or any other written agreement. In addition, the Company provides a range of retirement benefits and other comprehensive benefit options to meet the needs of its employees, including healthcare benefits, tax advantaged savings vehicles, life and disability insurance, paid time off, flexible working arrangements, generous parental leave policies and access to wellness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mindset culture begins with valuing learning over knowing – seeking out new ideas, driving innovation, embracing challenges, learning from failure, and improving over time. The Company strives to provide mentorship and career development to existing employees to help everyone on the team reach their full potential and employees are encouraged to reach out to their supervisors, if further development training is needed. In addition, the Company provides ongoing training in areas related to HIPAA, Cybersecurity, Security and Privacy Controls and Anti-Harassment and Discrimination training, among others.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vigorous, risk-based cybersecurity program, dedicated to protecting our data as well as data belonging to our members and providers. We utilize a defensive in-depth strategy, with multiple layers of security controls to protect our data and solutions. Our cyber-security team is comprised of experts across our enterprise, as well as outside experts, to ensure that we are monitoring and maintaining the effectiveness of our cybersecurity governance and vulnerability management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comprehensive United States federal, state and local and international regulation in the jurisdictions in which we do business. Our ability to operate profitably will depend in part upon our ability, and that of our affiliated providers, to maintain all necessary licenses and to operate in compliance with applicable laws and rules. Those laws and rules continue to evolve, and we therefore devote significant resources to monitoring developments in healthcare and medical practice regulation. As the applicable laws and rules change, we are likely to make conforming modifications in our business processes from time to time. In some jurisdictions where we operate, neither our current nor our anticipated business model has been the subject of formal judicial or administrative interpretation. We cannot be assured that a review of our business by courts or regulatory authorities will not result in determinations that could adversely affect our operations or that the healthcare regulatory environment will not change in a way that impacts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Telehealth and Teletherapy Provider Licensing, Medical Practice, Certification and Related Laws and Guidelines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practice of medicine, including the provision of therapy services, is subject to various federal, state and local certification and licensing laws, regulations, approvals and standards, relating to, among other things, the adequacy of medical care, the practice of medicine and licensed professional services (including the provision of remote care), equipment, personnel, operating policies and procedures and the prerequisites for the prescription of medication and ordering of tests. The application of some of these laws to telehealth and teletherapy is unclear and subject to differing interpretation.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Physicians, therapists and other licensed professionals who provide professional medical and therapy services to a patient via telehealth and teletherapy must, in most instances, hold a valid license to practice medicine or another licensed profession in the state in which the patient is located. We have established systems for ensuring that TPN and our affiliated professionals are appropriately licensed under applicable state law and that their provision of telehealth and teletherapy to our members occurs in each instance in compliance with applicable rules governing telehealth and teletherapy. Failure to comply with these laws and regulations could result in licensure actions against the professionals, our services being found to be non-reimbursable, or prior payments being subject to recoupments and can give rise to civil, criminal or administrative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 Laws in the U.S.; Fee Splitting</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contract with physicians or physician owned professional associations, professional corporations and therapists to provide access to our platform to them and their patients. We finalized an MSA with TPN and have direct management services contracts with other TPN affiliated entities pursuant to which we provide them with billing, scheduling and a wide range of other administrative and management services, and they pay us for those services via management and other service fees. These contractual relationships are subject to various state laws that prohibit fee splitting or the corporate practice of medicine or professional services by lay entities or persons and that are intended to prevent unlicensed persons from interfering with or influencing a physician’s or another licensed professional’s clinical judgment. Activities other than those directly related to the delivery of healthcare may be considered an element of the practice of medicine in many states. Under the corporate practice of medicine and other licensed profession restrictions of certain states, decisions and activities such as contracting, setting rates and the hiring and management of personnel may implicate the restrictions on the corporate practice of medicine or a licensed profession.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 corporate practice of medicine or other licensed profession and fee splitting laws and rules vary from state to state. In addition, these requirements are subject to broad interpretation and enforcement by state regulators. Some of these requirements may apply to us even if we do not have a physical presence in the state, based solely on our engagement of a provider licensed in the state or the provision of telehealth and teletherapy to a resident of the state. Thus, regulatory authorities or other parties, including our providers, may assert that, despite these arrangements, we are engaged in the corporate practice of medicine or a licensed profession or that our contractual arrangements with affiliated providers constitute unlawful fee splitting. In such event, failure to comply could lead to adverse judicial or administrative action against us and/or our affiliated providers, civil, criminal or administrative penalties, receipt of cease and desist orders from state regulators, loss of provider licenses, the need to make changes to the terms of engagement of our providers that interfere with our business, and other materially adverse consequences.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Fraud and Abuse Laws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Applicable and potentially applicable U.S. federal and state healthcare laws and regulations include, but are not limited, to the following.</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Stark Law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in the future some of our revenues come from federal health care programs, we will be subject to the federal self-referral prohibitions, commonly known as the Stark Law. Where applicable, this law prohibits a physician from referring Medicare patients for “designated health services” such as laboratory and other diagnostic services and prescription drugs that are furnished at an entity if the physician or a member of such physician’s immediate family has a “financial relationship” with the entity, unless an exception applies. Sanctions for violating the Stark Law include denial of payment, civil monetary penalties of up to $26,125 per claim submitted and exclusion from the federal health care programs. Failure to refund amounts received as a result of a prohibited referral on a timely basis may constitute a false or fraudulent claim and may result in civil penalties and additional penalties under the federal False Claims Act (“FCA”). The statute also provides for a penalty of up to $174,172 for a circumvention scheme. The Stark Law is a strict liability statute, which means proof of specific intent to violate the law is not required. In addition, the government and some courts have taken the position that claims presented in violation of the various statutes, including the Stark Law, can be considered a violation of the FCA (described below) based on the contention that a provider impliedly certifies compliance with all applicable laws, regulations and other rules when submitting claims for reimbursement. A determination of liability under the Stark Law for TPN or our affiliated physicians could have a material adverse effect on our business, financial condition and results of operations.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Federal Anti-Kickback Statute</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also be subject to the federal Anti-Kickback Statute if any of our services become reimbursable by government healthcare programs. The Anti-Kickback Statute is broadly worded and prohibits the knowing and willful offer, payment, solicitation or receipt of any form of remuneration in return for, or to induce, (i) the referral of a person covered by Medicare, Medicaid or other governmental programs, (ii) the furnishing or arranging for the furnishing of items or services reimbursable under Medicare, Medicaid or other governmental programs or (iii) the purchasing, leasing or ordering or arranging or recommending purchasing, leasing or ordering of any item or service reimbursable under Medicare, Medicaid or other governmental programs. Certain federal courts have held that the Anti-Kickback Statute can be violated if “one purpose” of a payment is to induce referrals. In addition, a person or entity does not need to have actual knowledge of this statute or specific intent to violate it to have committed a violation, making it easier for the government to prove that a defendant had the requisite state of mind or “scienter” required for a violation. Moreover, the government may assert that a claim including items or services resulting from a violation of the Anti-Kickback Statute constitutes a false or fraudulent claim for purposes of the FCA, as discussed below. Violations of the federal Anti-Kickback Statute may result in civil monetary penalties up to $105,563 for each violation, plus up to three times the remuneration involved. Civil penalties for such conduct can further be assessed under the FCA. Violations of the federal Anti-Kickback Statute can also result in criminal penalties, including criminal fines of more than $100,000 and imprisonment of up to 10 years. Similarly, violations can result in exclusion from participation in government healthcare programs, including Medicare and Medicaid. Imposition of any of these remedies could have a material adverse effect on our business, financial condition and results of operations, if in the future we provide services reimbursable by government healthcare programs. In addition to a few statutory exceptions, the Office of Inspector General (“OIG”) has published safe-harbor regulations that outline categories of activities that are deemed protected from prosecution under the Anti-Kickback Statute provided all applicable criteria are met. The failure of a financial relationship to meet all of the applicable safe harbor criteria does not necessarily mean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the particular arrangement violates the Anti-Kickback Statute. However, conduct and business arrangements that do not fully satisfy each applicable safe harbor may result in increased scrutiny by government enforcement authorities, such as the OIG.</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False Claims Act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Both federal and state government agencies have continued civil and criminal enforcement efforts as part of numerous ongoing investigations of healthcare companies and their executives and managers. Although there are a number of civil and criminal statutes that can be applied to healthcare providers, a significant number of these investigations involve the FCA. These investigations can be initiated not only by the government but also by a private party asserting direct knowledge of fraud. These “qui tam” whistleblower lawsuits may be initiated against any person or entity alleging such person or entity has knowingly or recklessly presented, or caused to be presented, a false or fraudulent request for payment from the federal government, or has made a false statement or used a false record to get a claim approved. In addition, the improper retention of an overpayment for 60 days or more is also a basis for an FCA action, even if the claim was originally submitted appropriately. Penalties for FCA violations include fines ranging from $11,803 to $23,607 for each false claim, plus up to three times the amount of damages sustained by the federal government. An FCA violation may provide the basis for exclusion from the federally funded healthcare programs.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 Fraud and Abuse Laws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states in which we operate have also adopted or may adopt similar self-referral, anti-kickback, fraud, whistleblower and false claims laws as described above. The scope of these laws and the interpretations of them vary by jurisdiction and are enforced by local courts and regulatory authorities, each with broad discretion. Some state fraud and abuse laws apply to items or services reimbursed by Medicaid programs and any third-party payer, including commercial insurers or to any payer, including to funds paid out of pocket by a patient. A determination of liability under such state fraud and abuse laws could result in fines and penalties and restrictions on our ability to operate in these jurisdictions.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HIPAA established several separate criminal penalties for making false or fraudulent claims to insurance companies and other non-governmental payers of healthcare services.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HIPAA, these two additional federal crimes are: “Healthcare Fraud” and “False Statements Relating to Healthcare Matters.” The Healthcare Fraud statute prohibits knowingly and recklessly executing a scheme or artifice to defraud any healthcare benefit program, including private payers. A violation of this statute is a felony and may result in fines, imprisonment, or exclusion from government sponsored programs. The False Statements Relating to Healthcare Matters statute prohibits knowingly and willfully falsifying, concealing, or covering up a material fact by any trick, scheme or device or making any materially false, fictitious, or fraudulent statement in connection with the delivery of or payment for healthcare benefits, items, or services. A violation of this statute is a felony and may result in fines or imprisonment. This statute could be used by the government to assert criminal liability if a healthcare provider knowingly fails to refund an overpayment. These provisions are intended to punish some of the same conduct in the submission of claims to private payers as the federal False Claims Act covers in connection with governmental health programs.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Civil Monetary Penalties Law imposes civil administrative sanctions for, among other violations, inappropriate billing of services to federally funded healthcare programs and employing or contracting with individuals or entities who are excluded from participation in federally funded healthcare programs. Moreover, a person who offers or transfers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$10,000 for each wrongful act. Furthermore, in certain cases, providers who routinely waive copayments and deductibles for Medicare and Medicaid beneficiaries can also be held liable under the Anti-Kickback Statute and civil False Claims Act, which can impose additional penalties associated with the wrongful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State and Federal Health Information Privacy and Security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including health information. In particular, HIPAA imposes a number of requirements on covered entities and their business associates relating to the use, disclosure and safeguarding of protected health information. These requirements include uniform standards of common electronic healthcare transactions; privacy and security regulations; and unique identifier rules for employers, health plans and providers. In addition, the Health Information Technology for Economic and Clinical Health Act, or HITECH, provisions of the American Recovery and Reinvestment Act of 2009 and corresponding implementing regulations have imposed additional requirements on the use and disclosure of protected health information such as additional breach notification and reporting requirements, contracting requirements for HIPAA business associate agreements, strengthened enforcement mechanisms and increased penalties for HIPAA violations. Federal consumer protection laws may also apply in some instances to privacy and security practices related to personal information.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Violations of HIPAA may result in civil and criminal penalties. However, a single breach incident can result in violations of multiple standards. Our management responsibilities to TPN include assisting it with its obligations under HIPAA’s breach notification rule. Under the breach notification rule, covered entities must notify affected individuals without unreasonable delay in the case of a breach of unsecured protected health information (“PHI”), which may compromise the privacy, security or integrity of the PHI. In addition, notification must be provided to U.S. Department of Health and Human Services (“HHS”) and the local media in cases where a breach affects more than 500 individuals. Breaches affecting fewer than 500 individuals must be reported to HHS on an annual basis. HIPAA also requires a business associate to notify its covered entity clients of breaches by the business associate.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In addition, HIPAA mandates that HHS conduct periodic compliance audits of HIPAA covered entities and their business associates for compliance. It also tasks HHS with establishing a methodology whereby harmed individuals who were the victims of breaches of unsecured PHI may receive a percentage of the civil monetary penalty fine paid by the violator. In light of the HIPAA Omnibus Final Rule, recent enforcement activity, and statements from HHS, we expect increased federal and state HIPAA privacy and security enforcement efforts.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also required HHS to adopt national standards for electronic transactions that all healthcare providers must use when submitting or receiving certain healthcare transactions electronically. On January 16, 2009, HHS released the final rule mandating that everyone covered by HIPAA must implement ICD 10 for medical coding on October 1, 2013, which was subsequently extended to October 1, 2015 and is now in effect.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states in which we operate and in which our patients reside also have laws that protect the privacy and security of sensitive and personal information, including health information. Moreover, state laws may be similar to or even more protective than HIPAA and other federal privacy laws. For example, the laws of the State of California, in which we operate, are more restrictive than HIPAA. Where state laws are more protective/restrictive than HIPAA, we must comply with the state laws we are subject to, in addition to HIPAA. In certain cases, it may be necessary to modify our existing or planned operations and procedures to comply with these more stringent state laws. Not only may some of these state laws impose fines and penalties upon violators, but, unlike HIPAA, some may afford private rights of action to individuals who believe their personal information has been misused. In addition, state laws could change rapidly, and there is currently a new federal privacy law or federal breach notification law under consideration to which we may be subject.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HIPAA and state health information privacy laws, we may be subject to other state and federal privacy laws, including laws that prohibit unfair privacy and security acts or practices and deceptive statements about privacy and security and laws that place specific requirements on certain types of activities, such as data security and texting. The FTC and states’ attorneys general have brought enforcement actions and prosecuted some data breach cases as unfair and/or deceptive acts or practices under the FTC Act and similar state laws. Further, the California Consumer Protection Act of 2018 (the “CCPA”), which took effect in 2020 and to which we are subject, imposes obligations and restrictions on businesses regarding their collection, use, and sharing of personal information and provides new and enhanced data privacy rights to California residents, such as affording them the right to access and delete their personal information and to opt out of certain sharing of personal information.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there have been a number of well publicized data breaches involving the improper use and disclosure of personal information and PHI. Many states have responded to these incidents by enacting laws requiring holders of personal information to maintain safeguards and to take certain actions in response to a data breach, such as providing prompt notification of the breach to affected individuals and state officials and provide credit monitoring services and/or other relevant services to impacted individuals. In addition, under HIPAA and pursuant to the related contracts that we enter into with our clients who are covered entities, we must report breaches of unsecured PHI to our clients following discovery of the breach. Notification must also be made in certain circumstances to affected individuals, federal authorities and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over time to continue to expand our operations in foreign countries through both organic growth and acquisitions. In such a case, our international operations will be subject to different, and sometimes more stringent, legal and regulatory requirements, which vary widely by jurisdiction, including anti-corruption laws; economic sanctions laws; various data security insurance, tax, tariff and trade laws and regulations; corporate governance; various data security and data protection laws (including the EU General Data Protection Regulation, known as GDPR, and UK data privacy regime); labor and employment, intellectual property, consumer protection and investment laws and regulations; discriminatory licensing procedures; required localization of records and funds; and limitations on dividends and repatriation of capital. In addition, the expansion of our operations into foreign countries increases our exposure to the anti-bribery, anti-corruption and anti-money laundering provisions of U.S. law as well as similar laws in the countries in which we operate, including the U.S. Foreign Corrupt Practices Act of 1977 (“FCPA”), and corresponding foreign laws, including the UK Bribery Act.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FCPA prohibits offering, promising or authorizing others to give anything of value to a foreign government official to obtain or retain business or otherwise secure a business advantage. We also are subject to applicable anti-corruption laws of the jurisdictions in which we operate. Violations of the FCPA and other anti-corruption laws may result in severe criminal and civil sanctions as well as other penalties, and the Securities Exchange Commission (“SEC”) and the DOJ have increased their enforcement activities with respect to the FCPA. The UK Bribery Act is an anti-corruption law that is broader in scope than the FCPA and applies to all companies with a nexus to the United Kingdom. Disclosures of FCPA violations may be shared with the UK authorities, thus potentially exposing companies to liability and potential penalties in multiple jurisdictions. We have internal control policies and procedures and conduct training and compliance programs for our employees to deter prohibited practices. However, if our employees or agents fail to comply with applicable laws governing our international operations, we may face investigations, prosecutions and other legal proceedings and actions which could result in civil penalties, administrative remedies and criminal sanctions.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subject to regulation by OFAC. OFAC administers and enforces economic and trade sanctions based on U.S. foreign policy and national security goals against targeted foreign countries and regimes, terrorists, international narcotics traffickers, those engaged in activities related to the proliferation of weapons of mass destruction, and other threats to the national security, foreign policy or economy of the United States. In addition, we may be subject to similar regulations in the non-U.S. jurisdictions in which we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our business that we establish, protect and enforce our intellectual property. We rely on a combination of patent, copyright, trademark and trade secret laws as well as confidentiality procedures, contractual provisions and other legal rights to establish and enforce our brand, proprietary technology and other intellectual property rights.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March 10, 2023, the Company has been approved for one patent related to “System and Method in Monitoring Engagement” which relates to the tracking of therapeutic progress between therapist and client. We also have one patent that is pending and several other conditional applications in the United States. We intend to continue to apply for additional patents relating to our software and technology. We cannot assure you whether any of our patent applications will result in the issuance of a patent or whether the examination process will require us to narrow our claims.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and use trademarks and service marks on or in connection with our business and services, including both unregistered marks and registered trademarks in the United States. In addition, we rely on other forms of intellectual property protection including trade secrets, know-how and other unpatented proprietary processes, in each case in support of our business. We make efforts to maintain and protect our intellectual property and the proprietary aspects of our products and technologies, including through the use of nondisclosure agreements and the monitoring of our competitors. Although we take steps to protect our trade secrets and know-how, third parties may independently develop or otherwise gain access to our trade secrets and know-how by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lawful means. We require our employees, consultants and certain of our contractors to execute confidentiality agreements in connection with their employment or consulting relationships with us but these agreements may not provide meaningful protection, and we cannot guarantee that we have executed such agreements with all applicable counterparties. Furthermore, these agreements may be breached, and we may not have an adequate remedy for any such breach. We also require our employees and consultants to disclose and assign to us inventions conceived during the term of their employment or engagement while using our property or which relate to our business. We also license certain intellectual property rights that are used in our business from third parties.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intellectual property arising in the ordinary course of our business, including oppositions to our applications for patents, trademarks, challenges to the validity of our intellectual property rights, and claims of intellectual property infringement. We are not presently a party to any such legal proceedings that, in the opinion of our management, would individually or taken together have a material adverse effect on our business,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principal place of business is at 622 Third Avenue, New York, NY 10017 and its telephone number is (212) 284-7206. The Company's website address is talkspace.com. The Company makes available free of charge on the investors section of its website the Annual Reports on Form 10-K, Quarterly Reports on Form 10-Q, Current Reports on Form 8-K, Proxy Statements and other SEC filings and all amendments to those reports filed or furnished to the SEC pursuant to Section 13(a), 14 or 15(d) of the Exchange Act, as soon as reasonably practicable after we file or furnish such materials to the SEC. The SEC also maintains a website (www.sec.gov) that contains these reports, proxy and information statements and other information. The information on our website is not, and will not be deemed to be, a part of this Annual Report on Form 10-K or incorporated into any of our other filings with the SEC, except where we expressly incorporated such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Certain statements in “Risk Factors” are forward-looking statements, see “Forward-Looking Statements” in Part II Item 7.</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subsection to the “Company,” “we,” “us” or “our” refer to the business of Talkspace, Inc. and its consolidated subsidiaries.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risks known to us. You should carefully consider the following risk factors together with all other information included in this Form 10-K and our other publicly filed documents when investing in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Early Stage of Growth</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which we expect to continue, and we may never achieve or sustain profitability.</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the markets we operate in are new and rapidly evolving which makes it difficult to evaluate our future prospects and the risks and challenges we may encounter.</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grow at the rates we historically have achieved or at all, even if our key metrics may indicate growth, which could have a material adverse effect on the market price of our common stock.</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managing our growth and expanding our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2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in our industry presents us with significant risks and challenges.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and if we are not able to compete effectively, our business, financial condition and results of operations will be harmed.</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1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profitability of our business will depend in large part upon the effectiveness and efficiency of our marketing efforts, and our ability to develop brand awareness cost-effectively.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achieving broad market education and changing consumer purchasing habits.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third parties that we provide services to.</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virtual behavioral healthcare strategies depend on our ability to maintain and expand our network of therapists, psychiatrists and other providers. If we are unable to do so, our future growth would be limited and our business, financial condition and results of operations would be harmed.</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affecting spending by the healthcare industry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and social medica engagement could adversely affect our business.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medical liability claims.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platforms, such as the Apple Store, to distribute our platform and offerings.</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and our own systems for providing services to our clients and members, and any failure or interruption in the services provided by these third parties or our own systems could expose us to litigation and negatively impact our relationships with clients and members.</w:t>
      </w:r>
    </w:p>
    <w:p>
      <w:pPr>
        <w:spacing w:after="0" w:line="1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vendors’ security measures fail or are breached and unauthorized access to a client’s data or information systems is obtained, our services may be perceived as insecure.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43"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which could adversely impact the value of our common stock.</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of our executive officers or key employees or an inability to attract and retain highly skilled and diverse employees could adversely affect our business.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acquisitions of other companies or technologies.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 increased interest rates may increase our operating and capital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21" w:lineRule="exact"/>
        <w:rPr>
          <w:sz w:val="20"/>
          <w:szCs w:val="20"/>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legal challenges to our business model or by actions restricting our ability to provide the full range of our services in certain jurisdictions.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government regulations may result in increased costs or adversely affect our results of operations.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relationships with affiliated professional entities, which we do not own, to provide physician and other professional services.</w:t>
      </w:r>
    </w:p>
    <w:p>
      <w:pPr>
        <w:spacing w:after="0" w:line="1"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social media may subject us to fines or other penalties or be an ineffective source to market our offerings.</w:t>
      </w:r>
    </w:p>
    <w:p>
      <w:pPr>
        <w:spacing w:after="0" w:line="6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compliance obligations and risks under anti-corruption, export controls and economic sanctions laws and regulations of the United States and applicable non-U.S. jurisdictions.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enforce or defend our intellectual property rights could impair our ability to protect our technology and our brand.</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challenge the validity of our trademarks and patents or oppose trademark and patent applications.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substantial costs as a result of any claim of infringement of another party’s intellectual property rights.</w:t>
      </w:r>
    </w:p>
    <w:p>
      <w:pPr>
        <w:spacing w:after="0" w:line="63"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software may not operate properly, and if we cannot resolve any technical issues in a timely manner, we may lose clients and our reputation may be harmed.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collaborations.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our Warrants and Operating as a Public Company</w:t>
      </w:r>
    </w:p>
    <w:p>
      <w:pPr>
        <w:spacing w:after="0" w:line="121"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devoted management time as a result of operating as a public company.</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material weaknesses in our internal control over financial reporting. If we fail to establish and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1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 Delaware law may have an adverse impact on us.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resales of our common stock may cause the market price of our securities to drop significantly.</w:t>
      </w:r>
    </w:p>
    <w:p>
      <w:pPr>
        <w:spacing w:after="0" w:line="6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warrants are exercisable for common stock, which could increase the number of shares eligible for future resale in the public market and result in dilution to our stockholders.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cash dividends for the foreseeable future.</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exercise price and redemption of warrants.</w:t>
      </w:r>
    </w:p>
    <w:p>
      <w:pPr>
        <w:spacing w:after="0" w:line="6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EARLY STAGE OF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we expect to continue, and we may never achieve or sustain profitability.</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significant losses in each period since our inception. These losses and accumulated deficit reflect the substantial investments we made to acquire new clients and members and to develop our technology platform. To date, we have derived a substantial majority of our revenue from clients and members who pay for access to our virtual behavioral health platform, and our longer-term results of operations and continued growth will depend on our ability to successfully grow our revenue from existing clients and members, to acquire new potential future clients and develop and market new virtual behavioral health products and services that are attractive to our clients and members. We intend to continue scaling our business to increase our client, member and provider bases, broaden the scope of services we offer, invest in research and development and expand the applications of our technology through which clients and members can access our services. Accordingly, we expect to make increased investments to support accelerated growth and the required investment to scale our provider network, we also expect increased efficiencies and economies of scale. These efforts may prove more expensive than we currently anticipate, and we may not succeed in increasing our revenue sufficiently to offset these expenses. In addition, our results of operations would also suffer if our innovations are not responsive to the needs of our clients and members, appropriately timed with market opportunity, effectively brought to market or do not achieve market acceptance. We cannot assure you that we will achieve profitability in the future or that, if we do become profitable, we will be able to sustain or increase profitability. Our prior losses, combined with our expected future losses, have had and will continue to have an adverse effect on our stockholders’ equity and working capital. As a result of these factors, we may need to raise additional capital through debt or equity financings in order to fund our operations, and such capital may not be available on reasonable terms, if at all.</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markets we operate in are new and rapidly evolving, which makes it difficult to evaluate our future prospects and the risks and challenges we may encounter.</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 and the markets we operate in are new and rapidly evolving which make it difficult to evaluate and assess the success of our business to date, our future prospects and the risks and challenges that we may encounter. These risks and challenges include our ability to:</w:t>
      </w:r>
    </w:p>
    <w:p>
      <w:pPr>
        <w:spacing w:after="0" w:line="54" w:lineRule="exact"/>
        <w:rPr>
          <w:sz w:val="20"/>
          <w:szCs w:val="20"/>
          <w:color w:val="auto"/>
        </w:rPr>
      </w:pPr>
    </w:p>
    <w:p>
      <w:pPr>
        <w:jc w:val="both"/>
        <w:ind w:left="7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existing clients and members that subscribe to our subscription offerings and utilize our services and to attract new clients and members to our platform and subscription offerings and position our platform as a convenient and accepted way to access therapy and psychiatry;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new and existing clients and members to rapidly adopt new offerings on our platform;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providers for inclusion in our platform;</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existing and new laws and regulations applicable to our business and in our industry, as well as additional laws that may be applicable to new service offerings;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industry pricing benchmarks and changes in the markets in which we operate;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 to challenges from existing and new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the infrastructure underlying our platform, including our apps and websites and with respect to data protection, intellectual property and cybersecurity; and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update our platform, including expanding our platform and offerings into different healthcare products and services, develop and update our software, apps, features, offerings and services to benefit our clients and members and enhance their experience.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fail to understand fully or adequately address the challenges that we are currently encountering or that we may encounter in the future, including those challenges described here and elsewhere in this “Risk Factors” section, our business, financial condition and results of operations could be adversely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grow at the rates we historically have achieved or at all, even if our key metrics may indicate growth, which could have a material adverse effect on the market price of our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experienced significant growth in the last several years, and therefore our recent revenue growth rate and financial performance should not be considered indicative of our future performance. From 2021 to 2022, our revenues grew at a compound annual rate of 5.2%. In addition, as a result of the COVID-19 pandemic, we experienced a significant increase in revenue, which increases we have managed to maintain for the time being. You should not rely on our revenue or key business metrics for any previous quarterly or annual period as any indication of our revenue, revenue growth, key business metrics, or key business metrics growth in future periods. In particular, our revenue growth rate has fluctuated in prior periods. Our future growth will depend, in part, on our ability to grow our revenue from existing clients and members, to acquire potential future clients and members and to expand our client, member and provider bases. We can provide no assurances that we will be successful in executing on these growth strategies or that, even if our key metrics would indicate future growth, we will continue to grow our revenue or to generate net income. Our ability to execute on our existing sales pipeline, create additional sales pipelines, and expand our client and member bases depends on, among other things, the attractiveness of our services relative to those offered by our competitors, our ability to demonstrate the value of our existing and future services, and our ability to attract and retain a sufficient number of qualified sales and marketing leadership and support personnel. In addition, our existing clients and members may be slower to adopt our services than we currently anticipate, which could adversely affect our results of operations and growth prospects.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experience significant growth in the scope of our operations. Our ability to manage our operations and future growth will require us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in our industry presents us with significant risks and challenges.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virtual behavioral health market is characterized by rapid technological change, changing consumer requirements, short product lifecycles and evolving industry standards. Our success will depend on our ability to enhance our solution with next-generation technologies and to develop or to acquire and market new services to access new client and member populations. There is no guarantee that we will possess the resources, either financial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software-based products and services becoming uncompetitive or obsolete.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the virtual behavioral health market is in an early stage of development, it is competitive and we expect it to attract increased competition, which could make it difficult for us to succeed. We currently face competition from a range of companies, including specialized software and solution providers that offer similar solutions and that are continuing to develop additional products and becoming more sophisticated and effective. These competitors include American Well Corporation, Teladoc, Included Health, MDLive, BetterHelp, Lyra Health and Headspace. In addition, large, well-financed health systems and health plans have in some cases developed their own telehealth and teletherapy tools and may provide these solutions to their consumer at discounted prices. Competition may also increase from large technology companies, such as Apple, Amazon, Meta, Google, Verizon, or Microsoft, who may wish to develop their own virtual behavioral health solutions, as well as from large retailers like Amazon or Walmart. The surge in interest in virtual behavioral healthcare, including as a result of the COVID-19 pandemic, and in particular the relaxation of HIPAA privacy and security requirements, has also attracted new competition from providers who utilize consumer-grade video conferencing platforms such as Zoom and Twilio. Competition from large software companies or other specialized solution providers, health systems and health plans, communication tools and other parties could result in continued pricing pressures, which is likely to lead to price declines in certain product segments, which could negatively impact our sales, profitability and market share.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competitors may have greater name recognition, longer operating histories and significantly greater resources than we do. Further, our current or potential competitors may be acquired by third parties with greater available resources. As a result, our competitors may be able to respond more quickly and effectively than we can to new or changing opportunities, technologies, standards or consumer requirements and may have the ability to initiate or withstand substantial price competition. In addition, current and potential competitors have established, and may in the future establish, cooperative relationships with vendors of complementary products, technologies or services to increase the availability of their solutions in the marketplace. Accordingly, new competitors or alliances may emerge that have greater market share, a larger consumer base, more widely adopted proprietary technologies, greater marketing expertise, greater financial resources and larger sales forces than we have, which could put us at a competitive disadvantage.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healthcare provider organizations are consolidating to create integrated healthcare delivery systems with greater market power. As provider networks and managed care organizations consolidate, thus decreasing the number of market participants, competition to provide products and services like ours could become more intense, and the importance of establishing and maintaining relationships with key industry participants could increase. These industry participants may try to use their market power to negotiate price reductions for our products and services. In light of these factors, even if our solution is more effective than those of our competitors, current or potential clients and members may accept competitive solutions in lieu of purchasing our solution. If we are unable to successfully compete in the virtual behavioral health market, our business, financial condition and results of operations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growth in the number of clients and members on our platform decreases, or the number of products or services that we are able to sell to our clients and members decreases, due to legal, economic or business developments, our business, financial condition and results of operations will be harmed.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generate most of our revenues from our health plan and enterprise clients which contracts are one to three years in length. We also generate revenues from members who purchase subscription access to our platform. These subscriptions generally have stated initial terms of one-to-six months and members may cancel their subscription at any time and will receive a pro-rata refund for the subscription price. Most of our clients and members have no obligation to renew their subscriptions for our services after the initial term expires. In addition, our clients may negotiate terms less advantageous to us upon renewal, which may reduce our revenue from these clients. Additionally, as we grow our client and member bases, we will need to maintain and grow our network of providers. Certain of our providers are permitted to provide services on other platforms, and therefore, our success will be dependent on our ability to retain and recruit highly trained and licensed therapists, psychiatrists and other providers to our platform. Additionally, our future results of operations depend, in part, on our ability to expand our services and offerings, including broadening our continuum of care. If our clients and members fail to renew their contracts, renew their contracts upon less favorable terms or at lower fee levels or fail to purchase new products and services from us, our revenue may decline or our future revenue growth may be constrained.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could affect our ability to sell products and services include, but are not limited to:</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performance and functionality of our solution;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price, performance and functionality of competing solutions;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complementary products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performance and security of our hosting infrastructure and hosting services;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trends.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consequences could lower retention and have a material adverse effect on our business, financial condition and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and profitability of our business will depend in large part upon the effectiveness and efficiency of our marketing efforts, and our ability to develop brand awareness cost-effectively.</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adoption of our solution and attracting new clients and members. Our brand promotion activities may not generate consumer awareness or increase revenue, and even if they do, any increase in revenue may not offset the expenses we incur in building our brand. If we fail to successfully promote and maintain our brand, or incur substantial expenses in doing so, we may fail to attract or retain clients and members necessary to realize a sufficient return on our brand-building efforts or to achieve the widespread brand awareness that is critical for broad adoption of our brands.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achieving broad market education and changing consumer purchasing habits.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future growth largely depend on our ability to increase consumer awareness of virtual behavioral therapy in general and our platform and offerings, in particular, and on the willingness of current and potential clients and members to utilize our platform to access information and behavioral health services. We believe the vast majority of consumers make purchasing decisions for behavioral health services on the basis of traditional factors, such as insurance coverage. This traditional decision-making process does not always account for restrictive and complex insurance plans, high deductibles, expensive co-pays and other factors, such as discounts or savings available at alternative therapists or practices. To effectively market our platform, we must educate consumers about the various purchase options and the benefits of using Talkspace for behavioral healthcare, including when such services may not be covered by their health insurance benefits. We focus our marketing and education efforts on potential clients, members and other consumers, but also aim to educate and inform healthcare providers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that we provide services to.</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existing and future relationships with third parties, such as third-party payors, including health plans and government agencies, as well as our ability to expand our B2B business with employers and health plan clients that we provide services to. Identifying potential clients, and negotiating and documenting relationships with them, requires significant time and resources. Our competitors may be effective in providing incentives to third parties to favor their products or services or to prevent or reduce subscriptions to, or utilization of, our products and services. In addition, acquisitions of our clients by our competitors could result in a decrease in the number of our current and potential clients and members, as our clients may no longer facilitate the adoption of our applications by potential members. If we are unsuccessful in establishing or maintaining our relationships with third parties that we provide services to, our ability to compete in the marketplace or to grow our revenue could be impaired and our results of operations may suffer. Even if we are successful, we cannot assure you that these relationships will result in increased client use of our services or increased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virtual behavioral healthcare strategies depend on our ability to maintain and expand our network of therapists, psychiatrists and other providers.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do so, our future growth would be limited and our business, financial condition and results of operations would be harmed.</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network of highly trained and qualified therapists, psychiatrists and other providers. If we are unable to recruit and retain licensed therapists, psychiatrists and other providers, it would have a material adverse effect on our business and ability to grow and would adversely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any particular market, providers could demand higher payments or take other actions that could result in higher medical costs, less attractive service for our clients or members or difficulty meeting regulatory or accreditation requirements.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develop and maintain satisfactory relationships with providers also may be negatively impacted by other factors not associated with us, such as state therapist or psychiatrist licensing laws and standard of care requirements, and other pressures on healthcare providers and consolidation activity among hospitals, physician groups and healthcare providers. Our failure to maintain or to secure new cost-effective provider contracts may result in a loss of or inability to grow our client and member bases, higher costs, less attractive services for our clients and members and/or difficulty in meeting regulatory or accreditation requirements, any of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affecting spending by the healthcare industry could adversely affect 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healthcare industry has changed significantly in recent years, and we expect that significant changes will continue to occur. General reductions in expenditures by healthcare industry participants could result from, among other things:</w:t>
      </w:r>
    </w:p>
    <w:p>
      <w:pPr>
        <w:spacing w:after="0" w:line="54" w:lineRule="exact"/>
        <w:rPr>
          <w:sz w:val="20"/>
          <w:szCs w:val="20"/>
          <w:color w:val="auto"/>
        </w:rPr>
      </w:pPr>
    </w:p>
    <w:p>
      <w:pPr>
        <w:ind w:left="760" w:hanging="378"/>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or private initiatives that affect the manner in which healthcare providers interact with patients, payors or other healthcare industry participants, including changes in pricing or means of delivery of healthcare products and services;</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healthcare industry participants;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amendments to, lack of enforcement or development of applicable regulations for, or repeal of The Patient Protection and Affordable Care Act, as amended by the Health Care and Education Reconciliation Act (the “Affordable Care Act” or the “ACA”);</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government funding for healthcare;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business or economic conditions affecting healthcare payors or providers or other healthcare industry participants.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changes in healthcare spending could adversely affect our revenue. Even if general expenditures by industry participants remain the same or increase, developments in the healthcare industry may result in reduced spending in some or all of the specific market segments that we serve now or in the future. We cannot assure you that the demand for our solutions and services will continue to exist at current levels or that we will have adequate technical, financial, and marketing resources to react to changes in the healthcare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media coverage and social media engagement could adversely affect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a substantial amount of media coverage in the United States. Unfavorable publicity regarding, among others, the healthcare industry, litigation or regulatory activity, the actions of the entities included or otherwise involved in our platform, virtual behavioral health services included on our platform or by other industry participants, our data privacy or data security practices, or our platform could materially adversely affect our reputation. In addition, from time to time, news media outlets have provided negative coverage regarding our platform and privacy practices and any such negative media coverage, regardless of the accuracy of such reporting, may have an adverse impact on our business and reputation, as well as have an adverse effect on our ability to attract and retain clients, members, other consumers, or employees, and result in decreased revenue, which would materially adversely affect our business, financial condition and results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clients and members may engage with us online through our social media pages, including, for example, our presence on Facebook, Instagram and Twitter, by providing feedback and public commentary about all aspects of our business. Information concerning us or our platform and offerings,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medical liability claims, which could cause us to incur significant expenses and may require us to pay significant damages if not covered by insurance.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overall business entails the risk of medical liability claims. Although TPN and our affiliated professionals carry or will carry insurance covering medical malpractice claims in amounts that we believe are appropriate in light of the risks attendant to the services rendered, successful medical liability claims could result in substantial damage awards that exceed the limits of TPN’s and those affiliated professionals’ insurance coverage. TPN carries or will carry professional liability insurance for itself and each of its healthcare professionals (our providers). Additionally, all of our network providers that contract or will contract with TPN separately carry or will carry professional liability insurance for itself and its healthcare professionals. Professional liability insurance is expensive and insurance premiums may increase significantly in the future, particularly as we expand our services through TPN and our affiliated professionals. As a result, adequate professional liability insurance may not be available to TPN and our affiliated professionals in the future at acceptable costs or at all, which may negatively impact TPN and our affiliated professionals to provide services to our members, and thereby adversely affect our overall business and operations.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claims made against TPN or our affiliated professionals that are not fully covered by insurance could be costly to defend against, result in substantial damage awards, and divert the attention of our management and our affiliated professional entities from our operations, which could have a material adverse effect on our business, financial condition and results of operations. In addition, any claims may adversely affect our business or reputation.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prevalence of employer-sponsored healthcare or the emergence of new technologies may adversely impact our business-to-business segment or require us to expend significant resources in order to remain competitive.</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 healthcare industry is massive, with a number of large market participants with conflicting agendas, and it is subject to significant government regulation and is currently undergoing significant change.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experts have predicted that future healthcare reform will encourage employer-sponsored health insurance to become significantly less prevalent as employees migrate to obtaining their own insurance over the state-sponsored insurance marketplaces. Were this to occur, there is no guarantee that we would be able to compensate for the loss in revenue from employers by increasing sales of our solution to health insurance companies or to individuals or government agencies. In such a case, our results of operations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platforms such as the Apple App Store and Google Play App Store, to distribute our platform and offerings.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Thus, our business could suffer materially if platform providers change their standard terms and conditions, interpretations or other policies and practices in a way that is detrimental to us or if platform providers determine that we are in violation of their standard terms and conditions and prohibit us from distributing our apps on their platforms. In addition,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virtual behavioral health services.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data center providers, Internet infrastructure, bandwidth providers, third-party computer hardware and software, other third parties and our own systems for providing services to our clients and members, and any failure or interruption in the services provided by these third parties or our own systems could expose us to litigation and negatively impact our relationships with clients and members, adversely affecting our brand and our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serve all of our clients and members from third party interconnection and data centers, such as Amazon Web Services. While we control and have access to our servers, we do not control the operation of these facilities. The cloud vendors and the owners of our data center facilities have no obligation to renew their agreements with us on commercially reasonable terms, or at all. If we are unable to renew these agreements on commercially reasonable terms, or if one of our cloud vendors or data center operators is acquired, we may be required to transfer our servers and other infrastructure to a new vendor or a new data center facility, and we may incur significant costs and possible service interruption in connection with doing so. Problems faced by our cloud vendors or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members. Our third-party data center operators could decide to close their facilities without adequate notice. In addition, any financial difficulties, such as bankruptcy faced by our cloud vendors 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third-party data centers operators or any of the service providers with whom we or they contract may have negative effects on our business, the nature and extent of which are difficult to predict.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our cloud or data center vendors are unable to keep up with our growing needs for capacity, this could have an adverse effect on our business. For example, a rapid expansion of our business could affect the service levels at our cloud vendors or data centers or cause such data centers and systems to fail. Any changes in third-party service levels at our data centers or any disruptions or other performance problems with our solution could adversely affect our reputation and may damage our clients and members’ stored files or result in lengthy interruptions in our services. Interruptions in our services may reduce our revenue, cause us to issue refunds to clients and members for prepaid and unused subscriptions, as well as loss of revenue related to service level credits and uptime, subject us to potential liability or adversely affect client retention.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ability to deliver our Internet-based services depends on the development and maintenance of the infrastructure of the Internet by third parties. This includes maintenance of a reliable network backbone with the necessary speed, data capacity, bandwidth capacity and security. Our services are designed to operate without interruption in accordance with our service level commitments. However, we have experienced, and expect that we may experience in the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and members.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computer hardware purchased and software licensed from third parties in order to offer our services. These licenses are generally commercially available on varying terms. However, it is possible that this hardware and software may not continue to be available on commercially reasonable terms, or at all. Any loss of the right to use any of this hardware or software could result in delays in the provisioning of our services until equivalent technology is either developed by us, or, if available from third parties, is identified, obtained and integrated.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rely on these services of third-party vendors could be impaired as a result of the failure of such providers to comply with applicable laws, regulations and contractual covenants, or as a result of events affecting such providers, such as power loss, telecommunication failures, software or hardware errors, computer viruses, cyber incidents and similar disruptive problems, fire, flood and natural disasters. Any such failure or event could adversely affect our relationships with our clients and members and damage our reputation. This could materially and adversely impact our business, financial condition and operating results.</w:t>
      </w:r>
    </w:p>
    <w:p>
      <w:pPr>
        <w:spacing w:after="0" w:line="179"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or our vendors’ security measures fail or are breached and unauthorized access to a client’s data or information systems is obtained, our services may be perceived as insecure, we may incur significant liabilities, our reputation may be harmed, and we could lose sales, clients and members.</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services involve the storage and transmission of our clients’ and members’ proprietary information, sensitive or confidential data, including valuable intellectual property and personal information of employees, clients, members and others, as well as the protected health information (“PHI”), of our clients and members. We are subject to laws and regulations relating to the collection, use, retention, security and transfer of this information. Because of the extreme sensitivity of the information we store and transmit, the security features of our and our third-party vendors’ computer, network, and communications systems infrastructure are critical to the success of our business. A breach or failure of our or our third-party vendors’ network, hosted service providers or vendor systems could result from a variety of circumstances and events, including third-party action, employee negligence or error, malfeasance, computer viruses, cyber-attacks by computer hackers such as denial-of-service and phishing attacks, failures during the process of upgrading or replacing software and databases, power outages, hardware failures, telecommunication failures, user errors, or catastrophic events.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In certain cases, these hackers are or are acting on behalf of state sponsors which further increases the risk of sophistication. As cyber threats continue to evolve, we may be required to expend additional resources to further enhance our information security measures, develop additional protocols and/or to investigate and remediate any information security vulnerabilities. If our or our third-party vendors’ security measures fail or are breached, it could result in unauthorized persons accessing sensitive client or member data (including PHI), a loss of or damage to our data, an inability to access data sources, or process data or provide our services to our clients and members. Such failures or breaches of our or our third-party vendors’ security measures, or our or our third-party vendors’ inability to effectively resolve such failures or breaches in a timely manner, could severely damage our reputation, adversely affect client, member or investor confidence in us, and reduce the demand for our services from existing and potential clients and members. In addition, we could face litigation, damages for contract breach, monetary penalties, or regulatory actions for violation of applicable laws or regulations and incur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significant costs for remedial measures to prevent future occurrences and mitigate past violations. Any potential security breach could also result in increased costs associated with liability for stolen assets or information, repairing system damage that may have been caused by such breaches, incentives offered to clients or other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Although we maintain insurance covering certain security and privacy damages and claim expenses, we may not carry insurance or maintain coverage sufficient to compensate for all liability and we cannot be certain that our insurance coverage will be adequate for data security liabilities actually incurred, will cover any indemnification claims against us relating to any incident, will continue to be available to us on economically reasonable terms, or at all, or that any insurer will not deny coverage as to any future claim. In any event, insurance coverage would not address the reputational damage that could result from a security incident.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Data privacy is also subject to frequently changing laws, rules and regulations in the various jurisdictions in which we operate. Such initiatives around the country could increase the cost of developing, implementing or securing our servers and require us to allocate more resources to improved technologies, adding to our IT and compliance costs. Our Board of Directors is briefed periodically on cybersecurity and risk management issues and we have implemented a number of processes to avoid cyber threats and to protect privacy. However, the processes we have implemented in connection with such initiatives may be insufficient to prevent or detect improper access to confidential, proprietary or sensitive data, including personal data. In addition, the competition for talent in the data privacy and cybersecurity space is intense, and we may be unable to hire, develop or retain suitable talent capable of adequately detecting, mitigating or remediating these risks. Our failure to adhere to, or successfully implement processes in response to, changing legal or regulatory requirements in this area could result in legal liability or damage to our reputation in the marketplace.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Should an attacker gain access to our network, including by way of example, using compromised credentials of an authorized user, we are at risk that the attacker might successfully leverage that access to compromise additional systems and data. Certain measures that we currently have in place in order to increase the security of our systems, such as data encryption (including data at rest encryption), heightened monitoring and logging, scanning for source code errors or deployment of multi-factor authentication, take significant time and resources to deploy broadly, and such measures may not be deployed in a timely manner or be effective against an attack. As cybersecurity threats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systems must be continually updated, patched and upgraded to protect against known vulnerabilities. The volume of new vulnerabilities has increased markedly, as has the criticality of patches and other remedial measures. In addition to remediating newly identified vulnerabilities, previously identified vulnerabilities must also be continuously addressed. Accordingly, we are at risk that cyber-attackers exploit these known vulnerabilities before they have been addressed. Any failure related to these activities and any breach of our information systems could result in significant liability and/or have a material adverse effect on our business, reputation and financial condition.</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applicable laws and regulations or contractual obligations, we may be held responsible for any information security failure or cyber-attack attributed to our vendors as they relate to the information we share with them. In addition, because we do not control our vendors and our ability to monitor their data security is limited, we cannot ensure the security measures they take will be sufficient to protect confidential, proprietary, or sensitive data, including personal data. Regardless of whether an actual or perceived cyber-attack is attributable to us or our vendors, such an incident could, among other things, result in improper disclosure of information, harm our reputation and brand, reduce the demand for our products and services, lead to loss of client confidence in the effectiveness of our security measures, disrupt normal business operations or result in our systems or products and services being unavailable. In addition, it may require us to spend material resources to investigate or correct the breach and to prevent future security breaches and incidents, expose us to uninsured liability, increase our risk of regulatory scrutiny, expose us to legal liabilities, including litigation, regulatory enforcement, indemnity obligations or damages for contract breach, divert the attention of management from the operation of our business and cause us to incur significant costs, any of which could affect our financial condition, operating results and our reputation. No material cybersecurity incidents have occurred during the year ended December 31,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adverse tax, legal and other consequences if the employment status of providers on our platform is challenged.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often uncertainty in the application of worker classification laws, especially in the medical field where individuals are required to hold professional licenses, and, consequently, there is risk that providers could be deemed to be misclassified under applicable law. We and TPN structure our relationships with the majority of our respective providers in a manner that we believe results in an independent contractor relationship, not an employee relationship. The tests governing whether a service provider is an independent contractor, or an employee are typically highly fact sensitive and vary by governing law. An independent contractor is generally distinguished from an employee by his or her degree of autonomy and independence in providing services. A high degree of autonomy and independence is generally indicative of a contractor relationship, while a high degree of control is generally indicative of an employment relationship. Although we believe that our and TPN’s providers are properly characterized as independent contractors, tax or other regulatory authorities may in the future challenge our characterization of these relationships. An actual or alleged misclassification determination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Medicare,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or other liability, and any adverse determination, including potentially the requirement for us to indemnify a user, could also harm our brand, which could materially and adversely affect our business, prospects, financial condition and results of operations. While these risks are mitigated, in part, by our contractual rights of indemnification against third-party claims, such indemnification agreements could be determined to be unenforceable or costly to enforce and indemnification under such agreements may otherwise prove inadequate. As a result, any determination that our and/or TPN’s providers are employees could have a material adverse effect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evolving EU and UK privacy laws on cookies and e-marketing. In the EU and the UK, under national laws derived from the ePrivacy Directive, informed consent is required for the placement of a cookie or similar technologies on a user’s device and generally for direct electronic marketing to consumers. The General Data Protection Regulation (“GDPR”) also imposes conditions on obtaining valid consent, such as a prohibition on pre-checked consents and a requirement to ensure separate consents are sought for each type of cookie or similar technology. The current national laws that implement the ePrivacy Directive are highly likely to be replaced across the EU (but not directly in the UK) by an EU regulation known as the ePrivacy Regulation which will significantly increase fines for non-compliance.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a trend of increasing enforcement by regulators of the strict approach in recent guidance and decisions which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marketplace concerns about the usage of third-party cookies and web beacons to track user behaviors, providers of major browsers have included features that allow users to limit the collection of certain data generally or from specified websites. In addition, various software tools and applications have been developed that can block advertisements from a consumer’s screen or allow consumers to shift the location in which advertising appears on webpages or opt out of display, search and internet-based advertising entirely.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 These developments could impair our ability to collect user information, including personal data and usage information, that helps us provide more targeted advertising to our current and prospective consumers, which could adversely affect our business, given our use of cookies and similar technologies to target our marketing and personalize the consumer experience.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operating results and financial condition.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be subject to changes in tax laws and have additional tax liabilities. We are subject to changes in tax laws, treaties or regulations and the interpretation or enforcement thereof in the United States and in jurisdictions in which we or any of our subsidiaries operate or are organized, and any such changes could have a material effect on our results of operations and liquidity. In October 2021, the Group of 20 endorsed a new global minimum tax rate for large multinational companies, which also has the support of a large number of countries and territories responsible for the overwhelming majority of global economic output. To take effect, the minimum tax would need to be implemented by each jurisdiction. It is not yet clear how such a minimum tax would impact our business. The Tax Cuts and Jobs Act of 2017 (“Tax Reform Act”) adopted sweeping changes to the U.S. Internal Revenue Code which also could have a material adverse effect on our financial condition and results of operations. In addition to lowering the U.S. corporate income tax rate and numerous other changes, the law imposes more stringent limitations on the deductibility of net operating losses and imposes a type of minimum tax designed to reduce the benefits derived from intercompany transactions and payments that result in base erosion. Although the Tax Reform Act has not had a material effect on our financial statements to date, if these tax laws, treaties or regulations change or any tax authority successfully challenges our assessment of the effects of such laws, treaties and regulations it could have a material adverse effect on us, resulting in a higher effective tax rate on our consolidated earnings or a reclassification of the tax effects of our significant corporate restructuring transactions. On August 16, 2022, the Inflation Reduction Act (“IRA”) was signed into law in the United States. Among other provisions, the IRA includes a 15% corporate minimum tax rate applied to certain large corporations and a 1% excise tax on corporate stock repurchases made after December 31, 2022. We do not expect the IRA to have a material impact to the Company.</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and local tax authorities may assert that we have a nexus with such states or localities and may seek to impose state and local income taxes on our income allocated to such state and localities and assert we are required to collect sales and use taxes.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a risk that certain state tax authorities where we do not currently file a state income tax return could assert that we are liable for state and local income taxes based upon income or gross receipts allocable to such states or localities. States and localities are becoming increasingly aggressive in asserting nexus for state and local income tax purposes. We could be subject to additional state and local income taxation, including penalties and interest attributable to prior periods, if a state or local tax authority in a state or locality where we do not currently file an income tax return successfully asserts that our activities give rise to nexus for state income tax purposes. Such tax assessments, penalties and interest may adversely affect our cash, tax liabilities, results of operations and financial condition.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state taxing authorities may assert that we had economic nexus with their state and were required to collect sales and use or similar taxes with respect to past or future services that we have provided or will provide, which could result in tax assessments and penalties and interest.</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attributes may be subject to certain limitations.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federal and state net operating loss carryovers (“NOL”)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possible that we will not generate taxable income in time to use these net operating loss carryforwards before their expiration (or that we will not generate taxable income at all). Under the Tax Cuts and Jobs Act of 2017, U.S. federal net operating losses incurred in 2018 and in future years may be carried forward indefinitely, but the deductibility of such net operating losses is limited. It is uncertain if and to what extent various states will conform to these in federal tax laws. In addition, the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undertaken an analysis of whether we have experienced an “ownership change” for purposes of Section 382 and Section 383 of the Internal Revenue Code or whether there are any limitations on use with respect to our net operating losses and other tax attributes.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which could adversely impact the value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quarterly results of operations, including our revenue, net loss and cash flows, has varied and may vary significantly in the future, and period-to-period comparisons of our results of operations may not be meaningful. Accordingly, our quarterly results should not be relied upon as an indication of future performance. Our quarterly financial results may fluctuate as a result of a variety of factors, many of which are outside of our control, including, without limitation, the factors described in this section.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our revenue in any given quarter is derived from contracts entered into with our clients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 Our subscription model also makes it difficult for us to rapidly increase our total revenue through additional sales in any period, as revenue from new clients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and diverse employees could adversely affect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members of senior management. These members of senior management are at-will employees and therefore they may terminate employment with us at any time with no advance notice. We also rely on our leadership team in the areas of research and development, marketing, services and general and administrative functions. From time to time, there may be changes in our management team resulting from the hiring or departure of executives, which could disrupt our business. For instance, on November 7, 2022, we appointed Dr. Jon R. Cohen to the position of Chief Executive Officer of the Company, effective as of November 9, 2022. The replacement of one or more of our executive officers or other key employees will likely involve significant time and costs and may significantly delay or prevent the achievement of our business objectives. Our business would also be adversely affected if we fail to adequately plan for succession of our executives and senior management; or if we fail to effectively recruit, integrate, retain and develop key talent and/or align our talent with our business needs, in light of the current rapidly changing environment. While we have employment arrangements with a limited number of key executives, these do not guarantee that the services of these or suitable successor executives will continue to be available to us.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is dependent on our ability to align our talent with our business needs, engage our employees and inspire our employees to be open to change, to innovate and to maintain member- and client-focus when delivering our services. To continue</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execute our growth strategy, we also must attract and retain highly skilled personnel. Competition is intense for qualified professionals. We may not be successful in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experience working in the healthcare market is limited overall.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high-technology industries, job candidates often consider the value of the stock options or other equity instruments they are to receive in connection with their employment. Volatility in the price of our stock may, therefore, adversely affect our ability to attract or retain highly skilled personnel. Failure to attract new personnel or failure to retain and motivate our current personnel,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we may have difficulty integrating any such acquisitions successfully or realizing the anticipated benefits therefrom, any of which could have a material adverse effect on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seek to acquire or invest in businesses, software-based products and services or technologies that we believe could complement or expand our solution, enhance our technical capabilities or otherwise offer growth opportunities. To pursue this strategy successfully, we must identify attractive acquisition or investment opportunities and successfully complete transactions, some of which may be large and complex. We may not be able to identify or complete attractive acquisition or investment opportunities due to, among other things, the intense competition for these transactions. If we are not able to identify and complete such acquisition or investment opportunities, our future results of operations and financial condition may be adversely affected. Additionally, the pursuit of potential acquisitions may divert the attention of management and cause us to incur various expenses in identifying, investigating and pursuing suitable acquisitions, whether or not they are consummated.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acquire additional businesses, we may not be able to integrate the acquired personnel, operations and technologies successfully, or effectively manage the combined business following the acquisition. We also may not achieve the anticipated benefits from the acquired business as a result of unanticipated costs or liabilities, difficulty converting the clients of the acquired business onto our platform and contract terms, diversion of management’s attention from other business concerns and employee retention issues, among other reasons.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generally must be assessed for impairment at least annually. In the future, if our acquisitions do not yield expected returns, we may be required to take charges to our results of operations based on this impairment assessment process, which could adversely affect our results of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results of operations. In addition, if an acquired business fails to meet our expectations, our business, financial condition and results of operations may suffer. For example, the goodwill acquired in connection with the acquisition of the relationship counseling App “Lasting” in November 2020 was fully written-off in December 31, 2022, following an annual goodwill impairment test and resulting $6.1 million impairment charge.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and increased interest rates may increase our operating and capital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inflationary pressures resulting from COVID-19 relief and aid programs, supply chain constraints and generally improved economic conditions increased our costs for provider compensation necessary to operate our business, and our clients’ costs of living. We expect these inflationary pressures to continue to impact our margins and more generally, our business in 2023.</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almost 10 years of low interest rate environments, inflationary pressures and efforts in the U.S. and around the world to combat inflation have resulted in increased interest rates by central banks globally. As a result, to the extent we incur any indebtedness the interest rates we are charged may be significantly higher than our interest rates in prior years, which increases our cost to operate our business. Further, the increased interest rates could affect our clients’ businesses and borrowing costs, which in turn could impact their ability to make timely payments to us.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attempts to offset these increasing costs, such as improving efficiency in other areas of the business, may not be successful. To the extent that our offsetting measures are not sufficient to offset these higher costs, our results of operations may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legal challenges to our business model or by actions restricting our ability to provide the full range of our services in certain jurisdictions.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conduct telehealth and teletherapy services through our network of providers in a particular jurisdiction is directly dependent upon the applicable laws governing remote care, the practice of medicine and healthcare delivery in general in such location, which are subject to changing political, regulatory and other influences. With respect to telehealth and teletherapy services, in the past, state medical boards have established new rules or interpreted existing rules in a manner that has limited or restricted our ability to conduct our business as it was conducted in other states. Some of these actions have resulted in the suspension or modification of our telehealth and teletherapy operations in certain states. However, the extent to which a jurisdiction considers particular actions or relationships to comply with the applicable standard of care is subject to change and to evolving interpretations by (in the case of U.S. states) medical boards and state attorneys general, among others, each with broad discretion. Accordingly, we must monitor our compliance with the law in every jurisdiction in which we operate, on an ongoing basis, and we cannot provide assurance that our activities and arrangements, if challenged, will be found to be in compliance with the law. Although the COVID-19 pandemic has led to the relaxation of certain Medicare, Medicaid and state licensure restrictions on the delivery of telehealth and teletherapy services, it is uncertain how long the relaxed policies will remain in effect, and there can be no guarantee that such restrictions will not be reinstated or changed in a way that adversely affects our business.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it is possible that the laws and rules governing the practice of medicine, including remote care and prescribing medication online, in one or more jurisdictions may change in a manner deleterious to our business. For instance, a few states have imposed different, and, in some cases, additional, standards regarding the provision of services via telehealth and teletherapy. Some states impose strict standards on using telehealth and teletherapy to prescribe certain classes of controlled substances that can be commonly used to treat behavioral health disorders. The unpredictability of this regulatory landscape means that sudden changes in policy regarding standards of care and reimbursement are possible. If a successful legal challenge or an adverse change in the relevant laws were to occur, and we or our affiliated medical group were unable to adapt our business model accordingly, our operations in the affected jurisdictions would be disrupted, which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government regulations may result in increased costs or adversely affect our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 regulatory climate that is uncertain, our operations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We have identified what we believe are the areas of government regulation that, if changed, would be costly to us. These include rules governing the practice of medicine by physicians and other licensed professionals; laws relating to licensure requirements for physicians and other licensed health professionals; laws limiting the corporate practice of medicine and professional fee-splitting; laws governing the issuances of prescriptions in an online setting; cybersecurity and privacy laws; and laws and rules relating to the distinction between independent contractors and employees. There could be laws and regulations applicable to our business that we have not identified or that, if changed, may be costly to us, and we cannot predict all the ways in which implementation of such laws and regulations may affect us.</w:t>
      </w:r>
    </w:p>
    <w:p>
      <w:pPr>
        <w:spacing w:after="0" w:line="1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the jurisdictions in which we operate, even where we believe we are in compliance with all applicable laws, due to the uncertain regulatory environment, certain jurisdictions may determine that we are in violation of their laws. In the event that we must remedy such violations, we may be required to modify our services and products in a manner that undermines our solution’s attractiveness to our clients, members or providers or experts, we may become subject to fines or other penalties or, if we determine that the requirements to operate in compliance in such jurisdictions are overly burdensome, we may elect to terminate our operations in such places. In each case, our revenue may decline and our business, financial condition and results of operations could be materially adversely affected.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introduction of new services may require us to comply with additional, yet undetermined, laws and regulations. Compliance may require obtaining appropriate licenses or certificates, increasing our security measures and expending additional resources to monitor developments in applicable rules and ensure compliance. The failure to adequately comply with these future laws and regulations may delay or possibly prevent some of our products or services from being offered to members and clients, or their members and patients, which could have a material adverse effect on our business, financial condition and results of operations.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transitioned to a structure where we have entered into various agreements with a Texas professional association entity, TPN, which in turn contracts with our affiliated professional entities and physicians, therapists, and other licensed professionals for clinical and professional services provided to our members. There is a risk that U.S. state authorities in some jurisdictions may find that these contractual relationships with professional entities, physicians and other healthcare providers providing telehealth and teletherapy violate laws prohibiting the corporate practice of medicine and professional fee splitting. These laws generally prohibit the practice of medicine by lay persons or entities and prohibit us from employing physicians and certain licensed professionals, directing the clinical practice of physicians and certain licensed professionals, holding an ownership interest in an entity that employs physicians and certain licensed professionals or from engaging in certain financial arrangements, such as splitting professional fees with physicians and certain licensed professionals. The laws are intended to prevent unlicensed persons or entities from interfering with or inappropriately influencing a healthcare provider’s professional judgment. The extent to which each state considers particular actions or contractual relationships to constitute improper influence of professional judgment varies across the states and is subject to change and to evolving interpretations by state boards of medicine and professional counselors and therapists, and state attorneys general, among others. As such, we must monitor our compliance with applicable laws in every jurisdiction in which we operate on an ongoing basis and we cannot guarantee that subsequent interpretation of the corporate practice of medicine or fee splitting laws will not circumscribe our business operations.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TPN contracts with therapists and other licensed professionals or enters into agreements with our affiliated professional entities, physicians, therapists and other licensed professionals for the clinical and professional services provided to our members. We do not own TPN or the professional entities with which it will contract. TPN and the professional entities are 100% owned by an independent licensed physician qualified to own TPN and such professional entities in the respective states of incorporation. A material change in our relationship with TPN or among TPN and the contracted professional entities, whether resulting from a dispute among the entities, a change in government regulation, or the loss of these affiliations, could impair our ability to provide services to members as we intend under the transitioned structure and could have a material adverse effect on our business, financial condition, and results of operations.</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 corporate practice of medicine doctrines also often impose penalties on physicians themselves for aiding the corporate practice of medicine, which could discourage physicians from participating in our network of providers. Due to the prevalence of the corporate practice of medicine doctrine, including in states where we conduct our business, we are subject to related agreements with TPN. One such agreement is a management services agreement with TPN, pursuant to which TPN reserves exclusive control and responsibility for all aspects of the practice of medicine and the delivery of medical services and we provide non-clinical management and administrative services in exchange for a management fee. The other professional entities, physicians, therapists and other licensed professionals who provide clinical and professional services to our members through contracts with TPN also retain exclusive control and responsibility for all aspects of medical services provided to our members. Although we seek to substantially comply with applicable state prohibitions on the corporate practice of medicine and fee splitting, state officials who administer these laws or other third parties may successfully challenge our organization and contractual arrangements with our providers once implemented. If such a claim were successful, we could be subject to civil and criminal penalties and could be required to restructure or terminate the applicable contractual arrangements. A determination that these arrangements violate state statutes, or our inability to successfully restructure our relationships with our providers to comply with these statutes, could eliminate clients located in certain states from the market for our services. Furthermore, these arrangements could subject us to additional scrutiny by federal and state regulatory bodies regarding federal and state fraud and abuse laws. Any scrutiny, investigation, adverse determination or litigation with regard to our arrangements with TPN and our affiliated professional entities could have a material adverse effect on our business, financial condition, and results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on us of recent healthcare legislation and other changes in the healthcare industry and in healthcare spending is currently unknown, but may adversely affect our business, financial condition and results of operations.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on us of healthcare reform legislation and other changes in the healthcare industry and in healthcare spending is currently unknown, but may adversely affect our business, financial condition and results of operations. Our revenue is dependent on the healthcare industry and could be affected by changes in healthcare spending, reimbursement and policy. The healthcare industry is subject to changing political, regulatory and other influences. The ACA made major changes in how healthcare is delivered and reimbursed, and it increased access to health insurance benefits to the uninsured and underinsured population of the United States.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ACA. We continue to evaluate the effect that the ACA and its possible modification or repeal and replacement has on our business. It is uncertain the extent to which any such changes may impact our business or financial condition.</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up to 2% per fiscal year pursuant to the Budget Control Act of 2011 and subsequent laws, which began in 2013 and will remain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consumer demand and affordability for our products and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(MACRA) which first affected physician payment in 2019. At this time, it is unclear how the introduction of the Medicare quality payment program will impact overall physician reimbursement.</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2022, the No Surprises Act went into effect to prevent surprise medical bills to non-federal healthcare program patients. Such changes in the regulatory environment may also result in changes to our payer mix that may affect our operations and revenue. In addition, certain provisions of the ACA authorize voluntary demonstration projects, which include the development of bundling payments for acute, inpatient hospital services, physician services and post-acute services for episodes of hospital care. Further, the ACA may adversely affect payers by increasing medical costs generally, which could have an effect on the industry and potentially impact our business and revenue as payers seek to offset these increases by reducing costs in other areas. Certain of these provisions are still being implemented and the full impact of these changes on us cannot be determined at this time.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regarding future amendments to the ACA as well as new legislative proposals to reform healthcare and government insurance programs, along with the trend toward managed healthcare in the United States, could result in reduced demand and prices for our services. We expect that additional state and federal healthcare reform measures will be adopted in the future, any of which could limit the amounts that federal and state governments and other third-party payers will pay for healthcare products and services, which could adversely affect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our services are not currently reimbursed by government healthcare programs such as Medicare or Medicaid, any future reimbursement from federal and/or state healthcare programs could expose our business to broadly applicable fraud and abuse laws and other healthcare laws and regulations that would regulate the business. The U.S. healthcare industry is heavily regulated and closely scrutinized by federal and state governments. Comprehensive statutes and regulations govern the manner in which we and our affiliated professional entities may provide and bill for services and collect reimbursement from governmental programs and private payers, our contractual relationships with TPN and its corresponding relationship with its contracted providers, vendors and clients, our marketing activities and other aspects of our operations.</w:t>
      </w:r>
    </w:p>
    <w:p>
      <w:pPr>
        <w:spacing w:after="0" w:line="133" w:lineRule="exact"/>
        <w:rPr>
          <w:sz w:val="20"/>
          <w:szCs w:val="20"/>
          <w:color w:val="auto"/>
        </w:rPr>
      </w:pPr>
    </w:p>
    <w:p>
      <w:pPr>
        <w:ind w:left="5540" w:right="2340" w:hanging="5525"/>
        <w:spacing w:after="0" w:line="282" w:lineRule="auto"/>
        <w:rPr>
          <w:sz w:val="20"/>
          <w:szCs w:val="20"/>
          <w:color w:val="auto"/>
        </w:rPr>
      </w:pPr>
      <w:r>
        <w:rPr>
          <w:rFonts w:ascii="Times New Roman" w:cs="Times New Roman" w:eastAsia="Times New Roman" w:hAnsi="Times New Roman"/>
          <w:sz w:val="18"/>
          <w:szCs w:val="18"/>
          <w:color w:val="auto"/>
        </w:rPr>
        <w:t>For a summary of the potential applicable U.S. federal and state healthcare laws, see, “Item 1. Business – U.S. Regulation.”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Achieving and sustaining compliance with these laws may prove costly. Failure to comply with these laws and other laws can result in civil and criminal penalties such as fines, damages, overpayment recoupment, loss of enrollment status and, if in the future we provide services reimbursable by government healthcare programs,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laws, regulations and standards governing the provision of healthcare services may change significantly in the future. We cannot assure you that any new or changed healthcare laws, regulations or standards will not materially adversely affect our business. We cannot assure you that a review of our business by judicial, law enforcement, regulatory or accreditation authorities will not result in a determination that could adversely affect our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by us, our employees, affiliates, partners or others with whom we work to comply with applicable laws and regulations could result in administrative, civil, commercial or criminal liabilities, including exclusion from participation in government healthcare programs, including Medicare and Medicaid. Any such penalties could have a material adverse effect on our reputation, our ability to compete for other contracts and our financial position, results of operations and/or cash flows.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and disclosure of personal information, including PHI, personal data, and other health information, is subject to state, federal or other privacy and security regulations, and our failure to comply with those regulations or to adequately secure the information we hold could result in significant liability or reputational harm and, in turn, a material adverse effect on our client base and member bases and revenue.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privacy and security of personal information stored, maintained, received or transmitted electronically is an enforcement priority in the United States and internationally. While we strive to comply with all applicable privacy and security laws and regulations, as well as our own posted privacy policies, legal standards for privacy, any failure or perceived failure to comply with such requirements may result in proceedings or actions against us by government entities or private parties, or could cause us to lose clients or members, any of which could have a material adverse effect on our business. Recently, there has been an increase in public awareness of privacy issues in the wake of revelations about the activities of various government agencies and in the number of private privacy-related lawsuits filed against companies. Any allegations about our practices with regard to the collection, use, disclosure, or security of personal information or other privacy-related matters, even if unfounded and even if we are in compliance with applicable laws, could damage our reputation and harm our business.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govern collection, storage, dissemination, use, retention, transfer, disposal, security and confidentiality of personal information, including HIPAA; U.S. state privacy, security and breach notification and healthcare information laws; the California Consumer Protection Act (“CCPA”); and other data protection laws.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HIPAA requires us to maintain policies and procedures governing PHI that is used or disclosed, and to implement administrative, physical and technical safeguards to protect PHI, including PHI maintained, used and disclosed in electronic form. Ongoing implementation and oversight of these measures involves significant time, effort and expense.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also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Further, if a breach affects 500 patients or more, it must be reported to the U.S. Department of Health and Human Services Office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Entities that are found to be in violation of HIPAA as the result of a breach of unsecured PHI or following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HIPAA also authorizes state attorneys general to file suit on behalf of their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residents and HIPAA's standards have been used as the basis for duty of care in state civil suits such as those for negligence or recklessness in the misuse or breach of PHI. Any such penalties or lawsuits could harm our business, financial condition, results of operations and prospects.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HIPAA, the U.S. federal government and various states and governmental agencies have adopted or are considering adopting various laws, regulations and standards regarding the collection, use, retention, security, disclosure, transfer and other processing of sensitive and personal information, to which we are or may become subject. For example, California implemented the California Consumer Privacy Act, or CCPA, which came into effect in 2020, and the California Privacy Rights Act (“CPRA”), which came into effect on January 1, 2023, and to which we are subject. The CCPA imposes obligations and restrictions on businesses regarding their collection, use, processing, retaining and sharing of personal information and provides new and enhanced data privacy rights to California residents. Protected health information that is subject to HIPAA is excluded from the CCPA; however, information we hold about individual residents of California that is not subject to HIPAA would be subject to the CCPA. Furthermore, California voters approved the California Privacy Rights Act (“CPRA”) in November 2020, which will significantly amend and expand the CCPA, including by providing consumers with additional rights with respect to their personal information. The CPRA also creates a new state agency that will be vested with authority to implement and enforce the CCPA and the CPRA. The CPRA will come into effect on January 1, 2023, applying to information collected by businesses on or after January 1, 2022. We expect states to continue to enact legislation similar to the CCPA and CPRA that provides consumers with new privacy rights and increases the privacy and security obligations of entities handling certain personal information of such consumers. Laws similar to the CCPA and CPRA have passed in Virginia and Colorado, and have been proposed in other states and at the federal level, reflecting a trend toward more stringent privacy legislation in the United States.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we are subject to certain other state laws such as the California Confidentiality of Medical Information Act, which imposes restrictive requirements regulating the use and disclosure of health information and other personal information. Such laws and regulations are not necessarily preempted by HIPAA, particularly if a state affords greater protection to individuals than HIPAA. Where state laws are more protective, we have to comply with the stricter provisions. Further, in addition to fines and penalties imposed upon violators, some of these state laws, such as the CCPA, also afford private rights of action to individuals who believe their personal information has been misused.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aggregate, state-based data privacy and security laws and regulations may impact our business. All of these evolving compliance and operational requirements impose significant costs that are likely to increase over time, may require us to modify our data processing practices and policies, divert resources from other initiatives and projects could restrict the way services involving data are offered and could subject us to additional liabilities, all of which may adversely affect our results of operations, business, and financial condition.</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there are numerous foreign laws, regulations and directives regarding privacy and the collection, storage, transmission, use, processing, disclosure and protection of personal information, the scope of which is continually evolving and subject to differing interpretations. If we provide services to users outside the United States, we may be subject to such laws, regulations, directives and obligations in relation to processing of personal information, and we may be subject to significant consequences, including penalties, fines and contractual liability, for our failure to comply. We are subject to the EU GDPR and the UK data privacy regime consisting primarily of the UK General Data Protection Regulation and the UK Data Protection Act 2018 (the “UK GDPR”) (the EU GDPR and the UK GDPR, collectively the “GDPR”), which impose a strict data protection compliance regime including stringent data protection requirements. EU Member States and the UK are also able to legislate separately on sensitive data (i.e., mental health), and we must comply with these local laws where we offer our services.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EEA and the UK, including to the United States. The European Commission has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We will be required to implement the revised standard contractual clauses within the relevant time frames. The revised standard contractual clauses apply only to the transfer of personal data outside of the EEA and not the UK; the UK’s Information Commissioner’s Office launched a public consultation on its draft revised data transfers mechanisms in August 2021. We are monitoring the outcome of this, and we may be required to implement new or revised documentation and processes in relation to our data transfers subject to the UK GDPR, within the relevant time frames. As supervisory authorities issue further guidance on data export mechanisms, including circumstances where the standard contractual clauses cannot be used, and/or start taking enforcement action, we could suffer additional costs, complaints and/or regulatory investigations or fines, and/or if we are otherwise unable to transfer personal information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relationship between the UK and the EU in relation to certain aspects of data protection law, particularly transfers of personal data, remains unclear following the UK’s departure from the EU on January 1, 2021,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€20,000,000/ £17.5 million or up to 4% of our total worldwide annual revenue for the preceding financial year, whichever is higher. In addition,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publish statements to our clients and members that describe how we handle and protect personal information. If federal or state regulatory authorities or private litigants consider any portion of these statements to be inaccurate, incomplete, or not fully implemented, we may be subject to claims of deceptive practices or other violation of law, which could lead to significant liabilities and consequences, including, without limitation, costs of responding to investigations, defending against litigation, settling claims and complying with regulatory or court orders.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business activities can be subject to challenge under one or more of such laws. The applicability,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and of processing of health data generally, which has led to a number of investigations, prosecutions, convictions and settlements in the healthcare industry. Any such investigations, prosecutions, convictions or settlements could result in significant financial penalties, damage to our brand and reputation, and a loss of clients and/or members, any of which could have an adverse effect on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any significant change to applicable laws, regulations or industry practices regarding the collection, use, retention, security or disclosure of our users’ personal information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users' personal information data or develop new services and features. Any of the foregoing could harm our competitive position,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may subject us to fines or other penalties or be an ineffective source to market our offerings.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social media as part of our omnichannel approach to marketing and outreach to clients, members and other consumers.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clients, members or others. Any such inappropriate use of social media could also cause reputational damage and adversely affect our business.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compliance obligations and risks under anti-corruption, export controls and economic sanctions laws and regulations of the United States and applicable non-U.S. jurisdictions, and any instances of noncompliance could have a material adverse effect on our reputation and the results of our operations.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have limited international operations, we may be or may become subject to compliance obligations under anti-corruption laws and regulations imposed by governmental authorities around the world with jurisdiction over our operations. As a U.S. corporation, we are subject to the regulations imposed by the FCPA, which generally prohibits U.S. companies and their intermediaries from making improper payments to foreign officials for the purpose of obtaining or maintaining business.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2010) could have a material adverse effect on the Company’s business, financial position, results of operations, cash flows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enforce or defend our intellectual property rights could impair our ability to protect our technology and our brand.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maintain, protect and enforce our intellectual property and other proprietary rights. We rely upon a combination of trademark, patent and trade secret laws, as well as license and access agreements and other contractual provisions, to protect our intellectual property rights. These laws, procedures and agreements provide only limited protection and any of our intellectual property rights may be challenged, invalidated, circumvented, infringed, diluted or misappropriated.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attempt to protect our intellectual property and proprietary information by requiring our employees, consultants and certain of our contractors to execute confidentiality and assignment of inventions agreements.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generally of confidentiality agreements and other contractual restrictions.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 Additionally, if a competitor lawfully obtains or independently develops the technology we maintain as a trade secret, we would have no right to prevent such competitor from using that technology or information to compete with us, which could harm our competitive position.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trade secrets and proprietary technologies, third parties may gain access to our proprietary information. They may also develop and market solutions similar to ours or use trademarks similar to ours, each of which could materially harm our business. Unauthorized parties may also attempt to copy or obtain and use our technology to develop applications with the same functionality as our solutions, and policing unauthorized use of our technology and intellectual property rights is difficult and may not be effective. The failure to adequately protect our intellectual property and other proprietary rights could have a material adverse effect on our business, financial condition and results of operations.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use open-source software in connection with our proprietary software and expect to continue to use open-source software in the future. Some open-source licenses require licensors to provide source code to licensees upon request or prohibit licensors from charging a fee to licensees. While we try to insulate our proprietary code from the effects of such open-source license provisions, we cannot guarantee we will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code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clients or members or the public, of the source code to such proprietary software. Any such disclosure would have a negative effect on our business and the value of our proprietary software.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challenge the validity of our trademarks and patents or oppose trademark and patent applications. We may not be able to obtain and enforce additional patents to protect our proprietary rights from use by potential competitors. Companies with other patents could require us to stop using or pay to use required technology.</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we do not adequately protect our intellectual property rights, competitors may be able to erode, negate or preempt any competitive advantage we may have, which could harm our business.</w:t>
      </w: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our trademarks, trade name and brand names to distinguish our products and services from the products and services of our competitors, and we have registered or applied to register many of these trademarks. We cannot assure you that any future trademark applications will be approved. Third parties may also oppose our future trademark applications, or otherwise challenge our use of our trademarks. In the event that our trademarks are successfully challenged, we could be forced to rebrand products or services, which could result in time and expense to re-program our software and websites, loss of brand recognition, and could require us to devote resources to advertising and marketing new brands.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applied for, and intend to continue to apply for, patents relating to our software and technology. Such applications may not result in the issuance of any patents, and any patents that may be issued may not provide adequate protection from competition. Furthermore, because the issuance of a patent is not conclusive as to its inventorship, scope, validity or enforceability, it is possible that patents issued to us may be challenged successfully and found to be invalid or unenforceable in the future. In that event, any competitive advantage that such patents might provide would be lost. If we are unable to secure or maintain patent coverage, our technology could become subject to competition from the sale of similar competing products.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may also be able to design around our now held or later issued patents. Changes in either the patent laws or interpretation of the patent laws in the United States and other countries may diminish the value of such patents or narrow the scope of our patent protection. If these developments were to occur, we could face increased competition. In addition, filing, prosecuting, maintaining, defending and enforcing patents on our software and technology in all countries throughout the world would be prohibitively expensive, and our intellectual property rights in some countries outside the United States can be less extensive than those in the United States.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patents issued to us relating to our software and technology may be infringed by the products or processes of others. The cost of enforcing patent rights against infringers, if such enforcement is required, could be significant and the time demands could interfere with our normal operations. Efforts to defend our intellectual property rights could incur significant costs and may or may not be resolved in our favor. If we fail to successfully enforce our intellectual property rights, our competitive position could suffer, which could harm our operating results. Regardless of the outcome, the cost and distraction associated with any such enforcement efforts could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any claim of infringement of another party’s intellectual property rights.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could become a party to intellectual property litigation and other infringement proceedings. The cost to us of any intellectual property litigation or other infringement or misappropriation proceeding, even if resolved in our favor, could be substantial. Some of our would-be competitors may sustain the costs of such litigation more effectively than we can because of their greater financial resources.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Regardless of the merits of any intellectual property litigation, we may be required to expend significant management time and financial resources on the defense of such claims, and any adverse outcome of any such claim or the above referenced review could have a material adverse effect on our business, financial condition or results of operations. We expect that we may receive in the future notices that claim we or our clients using our solution have misappropriated, misused or otherwise infringed other parties’ intellectual property rights, particularly as the number of competitors in our market grows and the functionality of applications amongst competitors overlaps. Our existing, or any future, litigation, whether or not successful, could be extremely costly to defend, divert our management’s time, attention and resources, damage our reputation and brand and substantially harm our business.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companies in our field,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Additionally, in connection with such litigation, our use of such intellectual property could be temporarily or permanently enjoined forcing us to stop using such intellectual property altogether. Even if we are successful in defending against such claims, litigation could result in substantial costs and be a distraction to management and other employees.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in most instances, we have agreed to indemnify our clients against certain third-party claims, which may include claims that our solution infringes the intellectual property rights of such third parties. Our business could be adversely affected by any significant disputes between us and our clients as to the applicability or scope of our indemnification obligations to them.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results of any intellectual property litigation to which we may become a party, or for which we are required to provide indemnification, may require us to do one or more of the following:</w:t>
      </w:r>
    </w:p>
    <w:p>
      <w:pPr>
        <w:spacing w:after="0" w:line="5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offering or using technologies that incorporate the challenged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to sell or use the relevant technology;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technology to avoid infringement.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make substantial payments or undertake any of the other actions noted above as a result of any intellectual property infringement claims against us or any obligation to indemnify our clients for such claims, such payments or costs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software may not operate properly, which could damage our reputation, give rise to claims against us or divert application of our resources from other purposes, any of which could harm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We encounter technical obstacles from time to time, and it is possible that we may discover additional problems that prevent our proprietary applications from operating properly. If our solution does not function reliably or fails to achieve client expectations in terms of performance, clients could assert liability claims against us or attempt to cancel their contracts with us. This could damage our reputation and impair our ability to attract or maintain clients. Moreover, data services are complex and those we offer have in the past contained, and may in the future develop or contain, undetected defects or errors. Material performance problems, defects or errors in our existing or new software-based products and services may arise in the future and may result from interface of our solution with systems and data that we did not develop and the function of which is outside of our control or undetected in our testing. These defects and errors, and any failure by us to identify and address them, could result in loss of revenue or market share, diversion of development resources, harm to our reputation and increased service and maintenance costs. Defects or errors may discourage existing or potential clients from purchasing our solution from us. Correction of defects or errors could prove to be impossible or impracticable. The costs incurred in correcting any defects or errors may be substantial and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resolve any technical issues in a timely manner, we may lose clients and our reputation may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clients depend on our support services to resolve any technical issues relating to our solution and services, and we may be unable to respond quickly enough to accommodate short-term increases in member demand for support services, particularly as we increase the size of our client, member and patient bases. We also may be unable to modify the format of our support services to compete with changes in support services provided by competitors. It is difficult to predict member demand for technical support services, and if member demand increases significantly, we may be unable to provide satisfactory support services to our clients. Further, if we are unable to address clients’ needs in a timely fashion or further develop and enhance our solution, or if a client or member is not satisfied with the quality of work performed by us or with the technical support services rendered, then we could incur additional costs to address the situation or be required to issue credits or refunds for amounts related to unused services, and our profitability may be impaired and clients’ dissatisfaction with our solution could damage our ability to expand the number of software-based products and services purchased by such clients. These clients may not renew their contracts, seek to terminate their relationship with us or renew on less favorable terms. Moreover, negative publicity related to our client relationships, regardless of its accuracy, may further damage our business by affecting our reputation or ability to compete for new business with current and prospective clients. If any of these were to occur, our revenue may decline and our business, financial condition and results of operations could be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solutions or the generation of significant future revenues.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particular, these collaborations may not result in the development of products that achieve commercial success or result in significant revenues and could be terminated prior to developing any products. Additionally, we may not own, or may jointly own with a third party, the intellectual property rights in products and other works developed under our collaborations, joint ventures, strategic alliances or partnerships.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720"/>
        <w:spacing w:after="0" w:line="499" w:lineRule="auto"/>
        <w:rPr>
          <w:sz w:val="20"/>
          <w:szCs w:val="20"/>
          <w:color w:val="auto"/>
        </w:rPr>
      </w:pPr>
      <w:r>
        <w:rPr>
          <w:rFonts w:ascii="Times New Roman" w:cs="Times New Roman" w:eastAsia="Times New Roman" w:hAnsi="Times New Roman"/>
          <w:sz w:val="17"/>
          <w:szCs w:val="17"/>
          <w:b w:val="1"/>
          <w:bCs w:val="1"/>
          <w:color w:val="auto"/>
        </w:rPr>
        <w:t xml:space="preserve">RISKS RELATED TO OWNERSHIP OF OUR COMMON STOCK, OUR WARRANTS AND OPERATING AS A PUBLIC COMPANY </w:t>
      </w:r>
      <w:r>
        <w:rPr>
          <w:rFonts w:ascii="Times New Roman" w:cs="Times New Roman" w:eastAsia="Times New Roman" w:hAnsi="Times New Roman"/>
          <w:sz w:val="17"/>
          <w:szCs w:val="17"/>
          <w:b w:val="1"/>
          <w:bCs w:val="1"/>
          <w:i w:val="1"/>
          <w:iCs w:val="1"/>
          <w:color w:val="auto"/>
        </w:rPr>
        <w:t>We continue to incur significantly increased costs and devote substantial management time as a result of operating as a public company.</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For example, we are subject to the reporting requirements of the Securities Exchange Act of 1934, as amended (the “Exchange Act”), and are required to comply with the applicable requirements of the Sarbanes-Oxley Act and the Dodd-Frank Wall Street Reform and Consumer Protection Act, as well as rules and regulations of the SEC and the Nasdaq Stock Market (“Nasdaq”), including the establishment and maintenance of effective disclosure and financial controls, changes in corporate governance practices and required filing of annual, quarterly and current reports with respect to our business and results of operations. Any failure to develop or maintain effective controls or any difficulties encountered in their implementation or improvement could harm our results of operations or cause us to fail to meet our reporting obligations. Compliance with these requirements has increased our legal and financial compliance costs and made some activities more time-consuming and costly. In addition, our management and other personnel are required to divert attention from operational and other business matters to devote substantial time to these public company requirements. In particular, we have incurred and expect to continue to incur significant expenses and devote substantial management effort toward ensuring compliance with the requirements of Section 404 of the Sarbanes-Oxley Act. We are continuing to hire additional accounting and financial staff with appropriate public company experience and technical accounting knowledge and may need to establish an internal audit function.</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June 2022, Talkspace reviewed and revised its director and officer liability insurance coverage. As a result, the board approved two additional layers of coverage on its “Side A” insurance which covers the personal assets of the Company’s directors and officers. This would allow coverage for individual liability protection of up to $30.0 million (after a $7.5 million deductible). Talkspace also retains $5.0 million in additional coverage for general securities liability. The Company will revise and renew its directors and officer coverage in June 2023.</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material weaknesses in our internal control over financial reporting. If we fail to establish and maintain effective internal control over financial reporting in the future, our ability to produce accurate and timely financial statements could be impaired, which may adversely affect investor confidence in us and, as a result, the value of our common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establish and maintain internal controls over financial reporting and, pursuant to Section 404 of the Sarbanes-Oxley Act, are required provide a report by management on, among other things, the effectiveness of our internal control over financial reporting for our annual reports on Form 10-K filed with the SEC. This assessment needs to include disclosure of any material weaknesses identified by our management in our internal control over financial reporting. A material weakness is a deficiency, or combination of deficiencies, in internal control that results in more than a reasonable possibility that a material misstatement of annual or interim financial statements will not be prevented or detected on a timely basis. In addition, Section 404 of the Sarbanes-Oxley Act also generally requires an attestation from our independent registered public accounting</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firm on the effectiveness of our internal control over financial reporting, starting with the annual report for the year ended December 31, 2022 (second annual report) on Form 10-K.</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under Item 9A, our management has determined that the following material weaknesses exist in our internal controls over financial reporting related to (a) 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 ineffective ITGCs, or that use data produced from systems impacted by the ineffective ITGCs were deemed ineffective at December 31 2022; and (b) Management did not have an adequate process in place to monitor and provide oversight over the completion of its testing and assessment of the design and operating effectiveness of internal control over financial reporting in a timely manner. As a result of the existence of these material weaknesses, our management concluded that neither our disclosure controls and procedures or our internal control over financial reporting were effective as of December 31, 2022.</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in the process of remediating these material weaknesses and have taken numerous steps to address their underlying causes. For example, we have commenced a process to (a) hire additional personnel with appropriate technical skill sets, (b) develop an execution plan and resourcing to test controls and providing timely feedback of any deficiencies noted to complete remediation (c) establish a training program for the entire organization to support ongoing execution of internal controls and adherence to control activities (d) actively monitor corrective actions and providing status reporting to leadership on the progress.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these enhanced resources and processes will effectively remediate the material weaknesses, but the material weaknesses will not be considered remediated until the applicable controls operate for a sufficient period of time and management has concluded, through testing, that controls are operating effectively.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remediate the material weaknesses described above at all or within our expected timeframe, or the identification of any newly identified material weaknesses, could limit our ability to prevent or detect a misstatement of our financial results, lead to a loss of investor confidence and have a negative impact on the trading price of our common stock and could subject us to sanctions or investigations by Nasdaq, the SEC or other regulatory authorities. A failure to implement and maintain effective control systems could also restrict our future access to the capital markets.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organizational documents contain certain provisions, including anti-takeover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organizational documents and the Delaware General Corporation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our organizational documents include the following provisions or features that may make the acquisition of our company more difficult:</w:t>
      </w:r>
    </w:p>
    <w:p>
      <w:pPr>
        <w:spacing w:after="0" w:line="81"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permitted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transactions are not “corporate opportunities” and the Identified Persons (as defined in the Certificate of Incorporation) are not subject to the doctrine of corporate opportunity and such Identified Persons do not have any fiduciary duty to refrain from engaging directly or indirectly in</w:t>
      </w:r>
    </w:p>
    <w:p>
      <w:pPr>
        <w:ind w:left="760"/>
        <w:spacing w:after="0"/>
        <w:rPr>
          <w:sz w:val="20"/>
          <w:szCs w:val="20"/>
          <w:color w:val="auto"/>
        </w:rPr>
      </w:pPr>
      <w:r>
        <w:rPr>
          <w:rFonts w:ascii="Times New Roman" w:cs="Times New Roman" w:eastAsia="Times New Roman" w:hAnsi="Times New Roman"/>
          <w:sz w:val="18"/>
          <w:szCs w:val="18"/>
          <w:color w:val="auto"/>
        </w:rPr>
        <w:t>the same or similar business activities or lines of business as 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governed by Section 203 of the DGCL and, instead, our Certificate of Incorporation includes a provision that is substantially similar to Section 203 of the DGCL, and acknowledges that certain stockholders cannot be “interested stockholders” (as defined in the Certificate of Incorporation);</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ability to amend the bylaws, which may allow our board of directors to take additional actions to prevent an unsolicited takeover and inhibit the ability of an acquirer to amend the bylaws to facilitate an unsolicited takeover attempt;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contain 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 of our certificate of incorporation requiring exclusive forum in certain courts in the State of Delaware or the federal district courts of the United States for certain types of lawsuits may have the effect of discouraging lawsuits against our directors and officers.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Certificate of Incorporation requires, to the fullest extent permitted by law, that (i) any derivative action or proceeding brought on our behalf, (ii) any action asserting a claim of breach of a fiduciary duty owed by any of our directors, officers or stockholders to us or our stockholders, (iii) any action asserting a claim against us arising pursuant to any provision of the DGCL or the Certificate of Incorporation or our bylaws or (iv) any action asserting a claim against us governed by the internal affairs doctrine will have to be brought in a state court located within the state of Delaware (or if no state court of the State of Delaware has jurisdiction, the federal district court for the District of Delaware), in all cases subject to the court’s having personal jurisdiction over the indispensable parties named as defendants. The foregoing provisions do not apply to claims arising under the Securities Act, the Exchange Act or other federal securities laws for which there is exclusive federal or concurrent federal and state jurisdiction.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district courts of the United States of America shall be the exclusive forum for the resolution of any complaint asserting a cause of action arising under the Securities Act; provided, however, that our stockholders will not be deemed to have waived our compliance with the federal securities laws and the rules and regulations thereunder. The enforceability of similar choice of forum provisions in other companies’ organizational documents has been challenged in legal proceedings, and it is possible that, in connection with claims arising under federal securities laws, a court could find the choice of forum provisions contained in the Certificate of Incorporation to be inapplicable or unenforceable.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or stockholders, which may discourage lawsuits with respect to such claims. Further, in the event a court finds either exclusive forum provision contained in the Certificate of Incorporation to be unenforceable or inapplicable in an action, we may incur additional costs associated with resolving such action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common stock may cause the market price of our securities to drop significantly, even if our business is doing well.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restrictions on resale end and registration statements (to provide for the resale of such shares from time to time) are available for use, the sale or possibility of sale of these shares could have the effect of increasing the volatility in our share price or the market price of our common stock could decline if the holders of currently restricted shares sell them or are perceived by the market as intending to sell them.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issue additional common stock or other equity securities without the approval of investors, which would dilute investors’ ownership interests and may depress the market price of our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common stock, which could increase the number of shares eligible for future resale in the public market and result in dilution to our stockholders.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Outstanding warrants to purchase shares of common stock are exercisable in accordance with the terms of the Warrant Agreement governing those securities. To the extent such warrants are exercised, additional shares of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public warrants will ever be in the money prior to their expiration, and as such, the warrants may expire worthless.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and future agreements and financing instruments, business prospects and such other factors as our board of directors deems relevant.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only be able to exercise your public warrants on a “cashless basis” under certain circumstances, and if you do so, you will receive fewer shares of common stock from such exercise than if you were to exercise such warrants for cash.</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common stock purchasable upon exercise of a warrant could be decreased, all without your approval.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(ii) adjusting the provisions relating to cash dividends on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 This choice-of-forum provision may limit a warrant holder’s ability to bring a claim in a judicial forum that it finds favorable for disputes with us,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common stock equals or exceeds $18.00 per share (as adjusted for stock splits, stock recapitalizations, reorganizations, recapitalizations and the like) for any 20 trading days within a 30 trading-day period ending on the third trading day prior to the date on which we give proper notice of such redemption to the warrants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so long as they are held by the Sponsor or its permitted transferees.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Global Select Market. We must satisfy Nasdaq’s continued listing requirements, including, among others, a minimum stockholders’ equity of $5.0 million and a minimum bid price for our common stock of $1.00 per share, or risk possibly delisting, which would have a material adverse effect on our business. On November 18, 2022, we received a letter from the Listing Qualifications staff of Nasdaq indicating that, based upon the closing bid price of our common stock for the prior 30 consecutive business days, we no longer met the requirement of the Nasdaq Global Select Market to maintain a minimum bid price of $1 per share, as set forth in Nasdaq Listing Rule 5450(a)(1). Upon expiration of the tolling period, if we do not maintain compliance with the Nasdaq continuing listing requirements, our common stock may be delisted from the Nasdaq Global Select Market and it could be more difficult to buy or sell our securities and to obtain accurate quotations, and the price of our common stock could suffer a material decline. In addition, a delisting would impair our ability to raise capital through the public markets, could deter broker-dealers from making a market in or otherwise seeking or generating interest in our securities and might deter certain institutions and persons from investing in our securities at all.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securities may fluctuate due to a variety of factors, including:</w:t>
      </w:r>
    </w:p>
    <w:p>
      <w:pPr>
        <w:spacing w:after="0" w:line="11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services or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existing or any future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securities available for public sale;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in the general economy or the industries in which our clients operate could disproportionately affect the demand for our solution and negatively impact our results of operations.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worldwide economic conditions have experienced significant downturns during the last ten years, and market volatility and uncertainty remain widespread, making it potentially very difficult for our clients and us to accurately forecast and plan future business activities. During challenging economic times, our clients may have difficulty gaining timely access to sufficient credit or obtaining credit on reasonable terms, which could impair their ability to make timely payments to us and adversely affect our revenue. If that were to occur, our financial results could be harmed. Further, challenging economic conditions may impair the ability of our clients to pay for the software-based products and services they already have purchased from us and, as a result, our write-offs of accounts receivable could increase. We cannot predict the timing, strength or duration of any economic slowdown or recovery. If the condition of the general economy or markets in which we operate worsens, our business could be harmed.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in order to execute our business plans, which may not be available on terms acceptable to us, or at all.</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recurring losses from operations, and negative cash flows at operations, and we expect our operating expenses will increase in the foreseeable future. We believe our cash and cash equivalents on hand following the Business Combination, together with cash we expect to generate from future operations, will be sufficient to meet our working capital and capital expenditure requirements in the near future. However, in the future we may still require additional capital to respond to technological advancements, competitive dynamics or technologies, customer demands, business opportunities, challenges,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and/or other litigation, which is expensive, time-consuming and could divert management attention.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price of our securities may be volatile and, in the past, companies that have experienced volatility in the market price of their securities have been subject to securities class action litigation. We may face allegations or litigation related to, among other things, securities issuances or business practices. For example, putative class action lawsuits have been filed by certain of our shareholders against us and certain of our current and former officers and directors alleging certain violations of the federal securities laws in connection with certain statements we have made regarding our business and financial condition. See Note 7, “Commitments and Contingent Liabilities” in the notes to the consolidated financial statements for further details. Additionally, we may become subject, from time to time, to other legal proceedings, payor audits, investigations, and claims that arise in the ordinary course of business such as claims brought by our clients in connection with commercial disputes or employment claims made by our current or former associates. Litigation disputes, including the disputes we are currently facing, could cause us to incur unforeseen expenses, result in content unavailability, and otherwise occupy a significant amount of our management’s time and attention, any of which could negatively affect our business operations and financial position. While the ultimate outcome of investigations, inquiries, information requests and related legal proceedings is difficult to predict, such matters can be expensive, time-consuming and distracting, and adverse resolutions or settlements of those matters may result in, among other things, modification of our business practices, reputational harm or costs and significant payments, any of which could negatively affect our business operations and financial position. Insurance may not cover such claims, may not provide sufficient payments to cover all of the costs to resolve one or more such claims and may not continue to be available on terms acceptable to us. A claim brought against us that is uninsured or underinsured could result in unanticipated costs, thereby reducing our earnings and leading analysts or potential investors to reduce their expectations of our performance, which could reduce the market price of our stock.</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securities price or trading volume could decline. While we expect to receive research analyst coverage, if no analysts commence coverage of us, the market price and volume for our securities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experience losses or liability not covered by insurance.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risks that are inherent in the provision of virtual behavioral healthcare. If clients, members or other individuals assert liability claims against us, any ensuing litigation, regardless of outcome, could result in a substantial cost to us, divert management’s attention from operations, and decrease market acceptance of our solution. We attempt to limit our liability to clients and members by contract; however, the limitations of liability set forth in the contracts may not be enforceable or may not otherwise protect us from liability for damages. Additionally, we may be subject to claims that are not explicitly covered by contract. We also maintain general liability coverage; however, this coverage may not continue to be available on acceptable terms, may not be available in sufficient amounts to cover one or more large claims against us, and may include larger self-insured retentions or exclusions for certain products. In addition, the insurer might disclaim coverage as to any future claim. A successful claim not fully covered by our insurance could have a material adverse impact on our liquidity,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a remote-only company with no permanent physical office space until recently. In the fourth quarter of 2022, the Company entered into a long-term sublease agreement for new office space in New York, NY. As of December 31, 2022, the majority of the Company’s employees are still working remotely.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view any of its leased facilities as material to its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presently a party to certain class action lawsuits for which a settlement was reached in February 2023 ending the ongoing litigation. The settlement for these lawsuits will have to be approved by the court, which the Company expects will occur in the second or third quarter of 2023. See Note 7, “Commitments and Contingent Liabilities” in the notes to the consolidated financial statements for further details.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23, 2021, Talkspace, Inc.'s common stock and warrants began trading on the Nasdaq under the symbols “TALK” and “TALKW,”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time, there was no public market for our common stock or warrants.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161,155,030 shares of common stock issued and outstanding and 12,780,000 Private Placement Warrants and 21,350,000 Public Warrants to purchase the Company’s common stock at an exercise price of $11.50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there were 26,653,377 shares underlying outstanding stock options and restricted stock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8, 2023, there were 47 holders of record of our common stock and 13 holders of record of our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prior to the Business Combination, HEC had not paid any dividends on its common stock. The payment of cash dividends in the future will be dependent upon our revenues and earnings, if any, capital requirements and general financial condition. The payment of any cash dividends will be within the discretion of our board of directors. Our ability to declare dividends may be limited by the terms of financing or other agreements entered into by us or our subsidiaries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stock-based compensation plan under which the Company may grant cash and equity incentive awards to officers, employees, directors, consultants and service providers and one employee stock purchase plan under which employees of the Company and its participating subsidiaries are provided with the opportunity to purchase Talkspace common stock at a discount through accumulated payroll deductions during successive offering periods. See Note 11, “Share-based Compensation” in the notes to the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its Common Stock during the fourth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73025</wp:posOffset>
            </wp:positionV>
            <wp:extent cx="3295650" cy="402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95650" cy="40259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top w:val="single" w:sz="8" w:color="auto"/>
            </w:tcBorders>
          </w:tcPr>
          <w:p>
            <w:pPr>
              <w:jc w:val="center"/>
              <w:ind w:left="137"/>
              <w:spacing w:after="0" w:line="142" w:lineRule="exact"/>
              <w:rPr>
                <w:sz w:val="20"/>
                <w:szCs w:val="20"/>
                <w:color w:val="auto"/>
              </w:rPr>
            </w:pPr>
            <w:r>
              <w:rPr>
                <w:rFonts w:ascii="Times New Roman" w:cs="Times New Roman" w:eastAsia="Times New Roman" w:hAnsi="Times New Roman"/>
                <w:sz w:val="13"/>
                <w:szCs w:val="13"/>
                <w:b w:val="1"/>
                <w:bCs w:val="1"/>
                <w:color w:val="auto"/>
                <w:w w:val="94"/>
              </w:rPr>
              <w:t>Total number of</w:t>
            </w:r>
          </w:p>
        </w:tc>
        <w:tc>
          <w:tcPr>
            <w:tcW w:w="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Maximum number of</w:t>
            </w:r>
          </w:p>
        </w:tc>
        <w:tc>
          <w:tcPr>
            <w:tcW w:w="1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Purchased as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that may be</w:t>
            </w: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Average price per</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jc w:val="center"/>
              <w:ind w:lef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 of a Publicly</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Purchased Under the</w:t>
            </w:r>
          </w:p>
        </w:tc>
        <w:tc>
          <w:tcPr>
            <w:tcW w:w="10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share</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3"/>
                <w:szCs w:val="13"/>
                <w:b w:val="1"/>
                <w:bCs w:val="1"/>
                <w:color w:val="auto"/>
                <w:w w:val="97"/>
              </w:rPr>
              <w:t>Announced Plan</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4"/>
                <w:szCs w:val="14"/>
                <w:color w:val="auto"/>
              </w:rPr>
            </w:pPr>
          </w:p>
        </w:tc>
      </w:tr>
      <w:tr>
        <w:trPr>
          <w:trHeight w:val="137"/>
        </w:trPr>
        <w:tc>
          <w:tcPr>
            <w:tcW w:w="2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spacing w:after="0" w:line="130" w:lineRule="exact"/>
              <w:rPr>
                <w:sz w:val="20"/>
                <w:szCs w:val="20"/>
                <w:color w:val="auto"/>
              </w:rPr>
            </w:pPr>
            <w:r>
              <w:rPr>
                <w:rFonts w:ascii="Times New Roman" w:cs="Times New Roman" w:eastAsia="Times New Roman" w:hAnsi="Times New Roman"/>
                <w:sz w:val="13"/>
                <w:szCs w:val="13"/>
                <w:b w:val="1"/>
                <w:bCs w:val="1"/>
                <w:color w:val="auto"/>
                <w:w w:val="92"/>
              </w:rPr>
              <w:t>Period</w:t>
            </w:r>
          </w:p>
        </w:tc>
        <w:tc>
          <w:tcPr>
            <w:tcW w:w="4260" w:type="dxa"/>
            <w:vAlign w:val="bottom"/>
            <w:tcBorders>
              <w:bottom w:val="single" w:sz="8" w:color="CFF0FC"/>
            </w:tcBorders>
            <w:shd w:val="clear" w:color="auto" w:fill="CFF0FC"/>
          </w:tcPr>
          <w:p>
            <w:pPr>
              <w:spacing w:after="0"/>
              <w:rPr>
                <w:sz w:val="11"/>
                <w:szCs w:val="11"/>
                <w:color w:val="auto"/>
              </w:rPr>
            </w:pPr>
          </w:p>
        </w:tc>
        <w:tc>
          <w:tcPr>
            <w:tcW w:w="1420" w:type="dxa"/>
            <w:vAlign w:val="bottom"/>
            <w:tcBorders>
              <w:bottom w:val="single" w:sz="8" w:color="CFF0FC"/>
            </w:tcBorders>
            <w:shd w:val="clear" w:color="auto" w:fill="CFF0FC"/>
          </w:tcPr>
          <w:p>
            <w:pPr>
              <w:ind w:left="1300"/>
              <w:spacing w:after="0" w:line="130" w:lineRule="exact"/>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1"/>
                <w:szCs w:val="11"/>
                <w:color w:val="auto"/>
              </w:rPr>
            </w:pPr>
          </w:p>
        </w:tc>
        <w:tc>
          <w:tcPr>
            <w:tcW w:w="14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ind w:left="60"/>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1"/>
                <w:szCs w:val="11"/>
                <w:color w:val="auto"/>
              </w:rPr>
            </w:pPr>
          </w:p>
        </w:tc>
        <w:tc>
          <w:tcPr>
            <w:tcW w:w="1500" w:type="dxa"/>
            <w:vAlign w:val="bottom"/>
            <w:tcBorders>
              <w:bottom w:val="single" w:sz="8" w:color="CFF0FC"/>
            </w:tcBorders>
            <w:shd w:val="clear" w:color="auto" w:fill="CFF0FC"/>
          </w:tcPr>
          <w:p>
            <w:pPr>
              <w:ind w:left="1360"/>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62"/>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October 1, 2022 to October 31, 2022</w:t>
            </w:r>
          </w:p>
        </w:tc>
        <w:tc>
          <w:tcPr>
            <w:tcW w:w="1420" w:type="dxa"/>
            <w:vAlign w:val="bottom"/>
          </w:tcPr>
          <w:p>
            <w:pPr>
              <w:ind w:left="1300"/>
              <w:spacing w:after="0"/>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r>
      <w:tr>
        <w:trPr>
          <w:trHeight w:val="162"/>
        </w:trPr>
        <w:tc>
          <w:tcPr>
            <w:tcW w:w="46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November 1, 2022 to November 30, 2022</w:t>
            </w:r>
          </w:p>
        </w:tc>
        <w:tc>
          <w:tcPr>
            <w:tcW w:w="142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7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4"/>
                <w:szCs w:val="14"/>
                <w:color w:val="auto"/>
              </w:rPr>
            </w:pPr>
          </w:p>
        </w:tc>
        <w:tc>
          <w:tcPr>
            <w:tcW w:w="150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r>
      <w:tr>
        <w:trPr>
          <w:trHeight w:val="162"/>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December 1, 2022 to December 31, 2022</w:t>
            </w:r>
          </w:p>
        </w:tc>
        <w:tc>
          <w:tcPr>
            <w:tcW w:w="14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color w:val="auto"/>
                <w:w w:val="76"/>
              </w:rPr>
              <w: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4"/>
                <w:szCs w:val="14"/>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r>
      <w:tr>
        <w:trPr>
          <w:trHeight w:val="195"/>
        </w:trPr>
        <w:tc>
          <w:tcPr>
            <w:tcW w:w="464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auto"/>
            </w:tcBorders>
            <w:shd w:val="clear" w:color="auto" w:fill="CFF0FC"/>
          </w:tcPr>
          <w:p>
            <w:pPr>
              <w:ind w:left="1300"/>
              <w:spacing w:after="0" w:line="142" w:lineRule="exact"/>
              <w:rPr>
                <w:sz w:val="20"/>
                <w:szCs w:val="20"/>
                <w:color w:val="auto"/>
              </w:rPr>
            </w:pPr>
            <w:r>
              <w:rPr>
                <w:rFonts w:ascii="Times New Roman" w:cs="Times New Roman" w:eastAsia="Times New Roman" w:hAnsi="Times New Roman"/>
                <w:sz w:val="13"/>
                <w:szCs w:val="13"/>
                <w:color w:val="auto"/>
                <w:w w:val="76"/>
              </w:rPr>
              <w:t>—</w:t>
            </w:r>
          </w:p>
        </w:tc>
        <w:tc>
          <w:tcPr>
            <w:tcW w:w="40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ind w:left="136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-8255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consolidated subsidiaries.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financial statements and the related notes contained in this Annual Report. This discussion contains forward-looking statements that reflect our plans, estimates, and beliefs, that involve risks and uncertainties. As a result of many factors, such as those discussed in the “Risk Factors” and “Forward-Looking Statements” sections and elsewhere in this Annual Report, our actual results may differ materially from those anticipated in these forward-looking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section is to discuss and analyze our consolidated financial condition, liquidity and capital resources and results of operations for the years ended December 31, 2022 and 2021. For a discussion of our results of operations, liquidity and capital resources for the year ended December 31, 2020, see "Management's Discussion and Analysis of Financial Condition and Results of Operations" in Part II, Item 7 of our Annual Report on Form 10-K for the fiscal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is a healthcare company offering its members convenient and affordable access to a fully-credentialed network of highly qualified providers. We are a leading virtual behavioral health company and, since Talkspace’s founding in 2012, we have connected millions of patients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business-to-business (“B2B”) channel, comprised of large health plans and employee assistance programs (“health plan clients”) such as Aetna, Cigna, Premera and Optum and large enterprise clients such as Google and Expedia (collectively, our “clients”), who offer their employees and insured members access to our platform while their employer is under an active contract with Talkspace, or at in-network reimbursement rates, where applicable, and our business-to-consumer (“B2C”) channel, comprised of individual consumers who subscribe directly to our platform.</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over 62,000 active members receiving care through our B2B and B2C channels, with over 92 million B2B eligible lives and over 15,000 B2C active members. For the year ended December 31, 2022, our clinicians completed 426,400 B2B sessions related to members covered by our health plan clients, as compared to 273,700 completed B2B sessions for the year ended December 31, 2021. Please refer to the “Key Business Metrics” section below for a description of active members and B2B eligible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and as one reporting unit, which is how the chief operating decision maker (who is the chief executive officer) reviews financial performance and allocates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440" w:type="dxa"/>
            <w:vAlign w:val="bottom"/>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640" w:type="dxa"/>
            <w:vAlign w:val="bottom"/>
          </w:tcPr>
          <w:p>
            <w:pPr>
              <w:spacing w:after="0"/>
              <w:rPr>
                <w:sz w:val="16"/>
                <w:szCs w:val="16"/>
                <w:color w:val="auto"/>
              </w:rPr>
            </w:pPr>
          </w:p>
        </w:tc>
        <w:tc>
          <w:tcPr>
            <w:tcW w:w="2440" w:type="dxa"/>
            <w:vAlign w:val="bottom"/>
            <w:tcBorders>
              <w:bottom w:val="single" w:sz="8" w:color="auto"/>
            </w:tcBorders>
            <w:gridSpan w:val="3"/>
          </w:tcPr>
          <w:p>
            <w:pPr>
              <w:jc w:val="center"/>
              <w:ind w:left="9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16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B2B eligible lives at year end </w:t>
            </w:r>
            <w:r>
              <w:rPr>
                <w:rFonts w:ascii="Times New Roman" w:cs="Times New Roman" w:eastAsia="Times New Roman" w:hAnsi="Times New Roman"/>
                <w:sz w:val="18"/>
                <w:szCs w:val="18"/>
                <w:i w:val="1"/>
                <w:iCs w:val="1"/>
                <w:color w:val="auto"/>
              </w:rPr>
              <w:t>(in millions)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B2B sessions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year end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year end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B2C active members at year end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21"/>
                <w:szCs w:val="21"/>
                <w:color w:val="auto"/>
              </w:rPr>
            </w:pPr>
          </w:p>
        </w:tc>
      </w:tr>
    </w:tbl>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B2B Eligible Lives: </w:t>
      </w:r>
      <w:r>
        <w:rPr>
          <w:rFonts w:ascii="Times New Roman" w:cs="Times New Roman" w:eastAsia="Times New Roman" w:hAnsi="Times New Roman"/>
          <w:sz w:val="18"/>
          <w:szCs w:val="18"/>
          <w:color w:val="auto"/>
        </w:rPr>
        <w:t>We consider B2B lives “eligible” if such persons are eligible to receive treatment on the Talkspace platform, in the case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typically through behavioral health plans and employee assistance programs. In these instances, the person is counted each time they are covered in the B2B eligible lives calculation, which may cause this amount to reflect a higher number of B2B eligible lives than we actually serve.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members “active” (i) in the case of our B2B members, if such members have engaged on our platform during the preceding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days, such as sending a text, video or audio message to, or participating in a video call with, a provider, completing a satisfaction or progress report survey or signing up for our platform, and (ii) in the case of our B2C members, commencing on the date such member initiates contact with a provider on our platform until the term of their monthly, quarterly or bi-annual subscription plan expires, unless terminated early. While a growth in active members typically highlights strong engagement with our members, not all active members are associated with revenue in that particular period.</w:t>
      </w:r>
    </w:p>
    <w:p>
      <w:pPr>
        <w:spacing w:after="0" w:line="1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year ended December 31,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9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(79,672</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Financial (income), net </w:t>
            </w:r>
            <w:r>
              <w:rPr>
                <w:rFonts w:ascii="Times New Roman" w:cs="Times New Roman" w:eastAsia="Times New Roman" w:hAnsi="Times New Roman"/>
                <w:sz w:val="24"/>
                <w:szCs w:val="24"/>
                <w:color w:val="auto"/>
                <w:vertAlign w:val="superscript"/>
              </w:rPr>
              <w:t>(1)</w:t>
            </w:r>
          </w:p>
        </w:tc>
        <w:tc>
          <w:tcPr>
            <w:tcW w:w="460" w:type="dxa"/>
            <w:vAlign w:val="bottom"/>
          </w:tcPr>
          <w:p>
            <w:pPr>
              <w:spacing w:after="0"/>
              <w:rPr>
                <w:sz w:val="21"/>
                <w:szCs w:val="21"/>
                <w:color w:val="auto"/>
              </w:rPr>
            </w:pPr>
          </w:p>
        </w:tc>
        <w:tc>
          <w:tcPr>
            <w:tcW w:w="1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(3,740 )</w:t>
            </w:r>
          </w:p>
        </w:tc>
        <w:tc>
          <w:tcPr>
            <w:tcW w:w="6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(31,228 )</w:t>
            </w:r>
          </w:p>
        </w:tc>
      </w:tr>
      <w:tr>
        <w:trPr>
          <w:trHeight w:val="243"/>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(2)</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3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21"/>
                <w:szCs w:val="21"/>
                <w:color w:val="auto"/>
              </w:rPr>
            </w:pPr>
          </w:p>
        </w:tc>
      </w:tr>
      <w:tr>
        <w:trPr>
          <w:trHeight w:val="272"/>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(58,671</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jc w:val="both"/>
        <w:ind w:left="480" w:hanging="472"/>
        <w:spacing w:after="0" w:line="243" w:lineRule="auto"/>
        <w:tabs>
          <w:tab w:leader="none" w:pos="4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2022, financial income, net, primarily consisted of $3.1 million in gains resulting from the remeasurement of the warrant liabilities. For the year ended December 31, 2021, financial income, net, primarily consisted of $36.0 million in gains resulting from the remeasurement of the warrant liabilities, partially offset by $4.2 million in warrant issuance costs in connection with the closing of the Business Combination.</w:t>
      </w:r>
    </w:p>
    <w:p>
      <w:pPr>
        <w:spacing w:after="0" w:line="2" w:lineRule="exact"/>
        <w:rPr>
          <w:rFonts w:ascii="Times New Roman" w:cs="Times New Roman" w:eastAsia="Times New Roman" w:hAnsi="Times New Roman"/>
          <w:sz w:val="15"/>
          <w:szCs w:val="15"/>
          <w:color w:val="auto"/>
        </w:rPr>
      </w:pPr>
    </w:p>
    <w:p>
      <w:pPr>
        <w:jc w:val="both"/>
        <w:ind w:left="480" w:hanging="472"/>
        <w:spacing w:after="0" w:line="238" w:lineRule="auto"/>
        <w:tabs>
          <w:tab w:leader="none" w:pos="48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2022, non-recurring expenses primarily consisted of a $5.5 million accrual for estimated litigation expenses; such accrual represents our best estimate of the total cost the Company may incur for settling the outstanding shareholder litigation claims, including federal, state and derivative actions, pursuant to binding agreements reached with the relevant parties, net of insurance proceeds. For the year ended December 31, 2021, non-recurring expenses primarily consisted of severance costs related to the separation of Oren Frank and Roni Frank, co-founders and former executives of the Company, in November 2021.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contract with enterprises, health insurance plans and employee assistance organizations to provide services to individuals who are qualified to receive access to the Company’s services through the Company’s commercial arrangements. We generate revenues from contracted platform access fees paid to us by our enterprise clients for the delivery of therapy services to their members or employees and from payments from insured members and claims paid by their respective insurance companies. We recognize revenue from our enterprise clients ratably over the contractual term based primarily on a per-member-per month access fee model. We recognize revenues from services provided to insured members at a point in time, as virtual therapy or psychiatry session is rendered.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generate revenues from the sale of monthly, quarterly, bi-annual and annual membership subscriptions to the Company's therapy platform as well as supplementary a la carte offerings directly to individual consumers through a subscription plan. We recognize member subscription revenues ratably over the subscription period, beginning when therapy services commence. We recognize revenues from supplementary a la carte offerings at a point in time, as virtual therapy session is rendered. Members may cancel their subscription at any time and will receive a pro-rata refund for the subscription price.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growth is generated from increasing our eligible covered lives through contracting with health plans, increasing utilization within eligible covered lives, expanding enterprise clients, and increasing membership subscriptions.</w:t>
      </w: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is comprised of therapist payments and hosting costs. Cost of revenues is largely driven by the size of our provider network that is required to service the growth of our health plan and enterprise clients, in addition to the growth of our customer base.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authority to approve the payment of incentive bonuses to providers with certain licenses during periods of higher demand for providers with such licenses. For our employee providers, they receive a fixed-salary and discretionary bonuses, where applicable, all of which is included in cost of revenues.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general and administrative expenses, and impairment of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certain executives,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however we expect further incremental increases to be minimal.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Impairment of goodwill represents an impairment charge for goodwill as a result of the annual impairment test performed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(income), net includes the impact from (i) non-cash changes in the fair value of our warrant liabilities, (ii) issuance costs related to our warrants, (iii) interest earned on cash equivalents deposited in our bank accounts and (iv) other financial expenses in connection with bank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taxes on income consists primarily of foreign income taxes related to income generated by our subsidiary organized under the laws of Israel.</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years ended December 31, 2022 and 2021 and the dollar and percentage change between the respective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 share and per share data)</w:t>
            </w: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80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(6,434 )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operations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(2,774 )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100,641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(27,799 )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143,496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(17,199 )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(83,158 )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(93,923 )</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(3,740 )</w:t>
            </w:r>
          </w:p>
        </w:tc>
        <w:tc>
          <w:tcPr>
            <w:tcW w:w="2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(31,228 )</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27,488</w:t>
            </w:r>
          </w:p>
        </w:tc>
        <w:tc>
          <w:tcPr>
            <w:tcW w:w="22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(88.0 )</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(79,418 )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(62,695 )</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(16,723 )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(79,672 )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(62,742 )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(16,930 )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2022 compared to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increased by $5.9 million, or 5.2%, to $119.6 million for the year ended December 31, 2022 from $113.7 million for the year ended December 31, 2021. The increase was principally due to a 65.5% growth in B2B revenue driven by an increase in covered lives from health plan clients and new enterprise clients, and a higher number of completed B2B sessions, offset by a 26.2% decline in B2C revenue. Revenue from our health plan clients, increased by $13.9 million, or 62.4%, to $36.2 million for the year ended December 31, 2022 from $22.3 million for the year ended December 31, 2021. Enterprise client contracts increased by 68 clients, or 43.0%, to 226 clients as of December 31, 2022 from 158 clients as of December 31, 2021. The increase in the number of enterprise clients increased revenue by $11.6 million, or 69.7%, to $28.2 million for the year ended December 31, 2022 from $16.6 million for the year ended December 31, 2021.</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B2C member subscriptions revenue decreased by $19.6 million, or 26.2%, to $55.2 million for the year ended December 31, 2022 from $74.8 million for the year ended December 31, 2021 due to the Company's intentional and strategic decision to reduce marketing spend related to this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revenues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increased by $12.3 million or 26.3%, to $59.2 million for the year ended December 31, 2022 from $46.9 million for the year ended December 31, 2021 due to higher therapist compensation expense, primarily due to an increase in compensation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decreased by $6.4 million, or 9.6%, to $60.3 million for the year ended December 31, 2022 from $66.8 million for the year ended December 31, 2021. Gross margin was 50.5% for the year ended December 31, 2022, compared to 58.7% during the year ended December 31, 2021. The decrease in gross margin was due primarily to a shift to our B2B business, which has a lower margin than our B2C business, and higher therapist compensation expense during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$5.7 million, or 36.1%, to $21.7 million for the year ended December 31, 2022 from $15.9 million for the year ended December 31, 2021. This was primarily due to higher investments in our technology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operations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operations expenses decreased by $2.8 million, or 29.6%, to $6.6 million for the year ended December 31, 2022 from $9.4 million for the year ended December 31, 2021. This was primarily due to a decrease in provider recruitment costs and employee-related costs, inclusive of non-cash stock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$27.8 million, or 27.6%, to $72.8 million for the year ended December 31, 2022 from $100.6 million for the year ended December 31, 2021. The decrease in sales and marketing expenses primarily consists of a decrease in direct marketing and promotional costs for our B2C business due to the Company's intentional and strategic decision to reduce marketing spend related to this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$1.5 million, or 4.3%, to $36.3 million for the year ended December 31, 2022 from $34.8 million for the year ended December 31, 2021. The increase in general and administrative expenses primarily consists of an increase in estimated litigation expenses and third-party contractor and professional fees, partially offset by a decrease in employee-related costs, inclusive of non-cash stock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Impairment of goodwill consists of a $6.1 million impairment charge related to goodwill acquired in connection with the business acquisition of the relationship counseling App "Lasting" in November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(income), net was $3.7 million for the year ended December 31, 2022, compared to financial (income), net of $31.2 million for the year ended December 31, 2021. For the year ended December 31, 2022, financial (income), net, primarily consisted of $3.1 million in non-cash gains resulting from the revaluation of warrant liabilities. For the year ended December 31, 2021, financial (income), net primarily consisted of $36.0 million in non-cash gains resulting from the revaluation of warrant liabilities, partially offset by $4.2 million in warrant issuance costs in connection with the closing of the Business Combination.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on income consists primarily of foreign income taxes related to income generated by our subsidiary organized under the laws of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2021 compared to December 31, 2020</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 results for the year ended December 31, 2021 compared to the year ended December 31, 2020, please refer to the “Management’s Discussion and Analysis of Financial Condition and Results of Operations” section of the Company’s 2021 Form 10-K filed on February 25,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and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interest and other expenses (income), net, (ii) tax benefit and expense, (iii) depreciation and amortization, (iv) stock-based compensation expense, (v) Impairment of goodwill and (vi) certain non-recurring expenses that do not represent our on-going operations, where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$138.5 million of cash and cash equivalents, compared to $198.3 million as of December 31, 2021, which we use to finance our operations and support a variety of growth initiatives and investments. We had no debt as of December 31, 2022 and expect to generate operating losses for the foreseeable future.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foreseeable future using available cash and cash equivalent balances as of December 31, 2022. However, in the future we may require additional capital to respond to technological advancements, competitive dynamics, customer demands, business opportunities,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capital.</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grow or support our business and to respond to business challenges could be significantly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consolidated cash flow information for the years ended December 31, 2022 and 2021:</w:t>
      </w:r>
    </w:p>
    <w:p>
      <w:pPr>
        <w:spacing w:after="0" w:line="124"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(61,077 )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(65,711 )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(317 )</w:t>
            </w:r>
          </w:p>
        </w:tc>
        <w:tc>
          <w:tcPr>
            <w:tcW w:w="38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(663 )</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(59,711 )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$61.1 million and $65.7 million for the year ended December 31, 2022 and 2021, respectively. The decrease in net cash used in operating activities was driven primarily by the positive impact of lower operating expenses offset by unfavorable timing of collections on receivables and payments of account payables and accrued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$0.3 million and $0.7 million for the years ended December 31, 2022 and 2021, respectively. The decrease in net cash used in investing activities was driven primarily by a decrease in the purchases of computer equipment and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$1.7 million and $251.4 million for the year ended December 31, 2022 and 2021, respectively. The decrease in cash provided by financing activities is due to proceeds of $249.3 million, net of payment of transaction costs, received in the Business Combination during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did not have any short-term or long-term debt, or significant long-term liabilities.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we have a long-term operating lease for our new office space in New York, NY. See Note 9, “Leases” in the notes to the consolidated financial statements for further details.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presently a party to certain class action lawsuits for which a settlement was reached in February 2023 ending the ongoing litigation. In addition, we may in the future be involved in various legal proceedings, claims and litigation that arise in the normal course of business. We accrue for estimated loss contingencies related to legal matters when available information indicates that it is probable a liability had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See Note 7, “Commitments and Contingent Liabilities” in the notes to the consolidated financial statements for further details.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requiring us to indemnify clients against liabilities if there is a breach of a client’s data or if our service infringes a third party’s intellectual property rights. To date, we have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accounting estimates are essential to understanding and interpreting the financial results reported on the consolidated financial statements. The significant accounting policies used in the preparation of the Company's consolidated financial statements are summarized in note 2 to those statements. Certain of those policies are considered to be particularly important to the presentation of the Company's financial results because they require management to make difficult, complex or subjective judgments, often as a result of matters that are inherently uncertain. The following is a discussion of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revenues in accordance with ASC 606, “Revenue from Contracts with Customers”. As such, the Company identifies a contract with a customer, identifies the performance obligations in the contract, determines the transaction price, allocates the transaction price to each performance obligation in the contract and recognizes revenues when (or as) the Company satisfies a performance obligation. A contract with a customer exists only when the parties to the contract have approved it and are committed to perform their respective obligations, the Company can identify each party’s rights regarding the distinct services to be transferred (“performance obligations”), the Company can determine the transaction price for the services to be transferred, the contract has commercial substance and it is probable that the Company will collect the consideration to which it will be entitled in exchange for the services that will be transferred to the customer.</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Revenues are recognized when the Company satisfies its performance obligation to perform its defined contractual obligations to provide virtual behavioral healthcare services. The transaction price is determined based on the consideration to which the Company will be entitled in exchange for the service rendered. To the extent the transaction price includes variable consideration, the Company estimates the amount of variable consideration that is included in the transaction price using the expected value method, as this method best predicts the amount of consideration to which the Company will be entitled based on the terms of its contracts. Variable consideration is included in the transaction price if it is probable that a significant reversal of cumulative revenue recognized will not occur when the uncertainty associated with the variable consideration is subsequently resolved. The Company determines its estimate of variable consideration primarily based on actual historical collection experience for each insurance payor over a twelve-month period.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Warrant Liabilities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Company acquired Private Placement Warrants from HEC. Additionally, there were Private Placement Warrants that were issued related to the closing of the Forward Purchase Agreement with the HEC Fund. The Private Placement Warrants are accounted for as liabilities in accordance with ASC 815-40 and are presented within warrant liabilities in the accompanying consolidated balance sheets. The warrant liabilities are measured at fair value at inception and on a recurring basis, with changes in fair value presented within financial (income), net in the consolidated statement of operations. 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No. 718, “Compensation—Stock Compensation” which requires equity-based awards to be measured at fair value on the grant date and the resulting compensation cost to be recognized over the requisite service period.</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No. 718 requires companies to estimate the fair value of stock options awards using an option-pricing model. We have selected the Black-Scholes-Merton option pricing model as the most appropriate fair value method for our stock-options awards. The option-pricing model requires a number of assumptions, of which the most significant are the expected stock price volatility and the expected option term. Expected volatility was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We have historically not paid dividends and have no foreseeable plans to pay dividends. We recognize forfeitures of awards as they occur.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fair value of the identifiable assets acquired and liabilities assumed in a business combination. In accordance with ASC 350, we test goodwill for impairment at least on an annual basis or more frequently if events or changes in circumstances indicate that the fair value of the reporting unit may be reduced below its carrying value.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testing goodwill for impairment, we have the option of first performing a qualitative assessment to determine whether it is more likely than not that the fair value of our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equal to the excess but limited to the total amount of goodwill. As part of our annual goodwill impairment tests performed for the year ended December 31, 2022, the Company recognized an impairment charge of $6.1 million. See Note 4, "Goodwill" in the notes to the consolidated financial statements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Estimates” in the notes to the consolidated financial statements for information regarding recent accounting developments and their impact on our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stock-based compensation, revenue recognition, business strategy, plans and market growth.</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in this Annual Report on Form 10-K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2022.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and the documents that we reference herein and have filed as exhibits to this Annual Report on Form 10-K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or any forward-looking statements we may publicly make from time-to-time, whether as a result of any new information, future events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totaling $138.5 million and $198.3 million as of December 31, 2022 and December 31, 2021, respectively. Cash and cash equivalents are held for a variety of growth and investments as well as working capital purposes.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believe that a hypothetical increase or decrease of 100 basis points in interest rates would have a material effect on our business, financial condition or results of operations. However, our earnings on cash equivalents are subject to market risk due to changes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date, a substantial majority of our revenue from customer arrangements has been denominated in U.S. dollars. We have limited operations outside the United States. Accordingly, we believe we do not have a material exposure to foreign currency risk. In the future, we may choose to focus on international expansion, which may increase our exposure to foreign currency exchange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160" w:type="dxa"/>
            <w:vAlign w:val="bottom"/>
          </w:tcPr>
          <w:p>
            <w:pPr>
              <w:spacing w:after="0"/>
              <w:rPr>
                <w:sz w:val="17"/>
                <w:szCs w:val="17"/>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3"/>
        </w:trPr>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60" w:type="dxa"/>
            <w:vAlign w:val="bottom"/>
          </w:tcPr>
          <w:p>
            <w:pPr>
              <w:spacing w:after="0"/>
              <w:rPr>
                <w:sz w:val="24"/>
                <w:szCs w:val="24"/>
                <w:color w:val="auto"/>
              </w:rPr>
            </w:pPr>
          </w:p>
        </w:tc>
      </w:tr>
      <w:tr>
        <w:trPr>
          <w:trHeight w:val="540"/>
        </w:trPr>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8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60" w:type="dxa"/>
            <w:vAlign w:val="bottom"/>
          </w:tcPr>
          <w:p>
            <w:pPr>
              <w:spacing w:after="0"/>
              <w:rPr>
                <w:sz w:val="24"/>
                <w:szCs w:val="24"/>
                <w:color w:val="auto"/>
              </w:rPr>
            </w:pPr>
          </w:p>
        </w:tc>
      </w:tr>
      <w:tr>
        <w:trPr>
          <w:trHeight w:val="392"/>
        </w:trPr>
        <w:tc>
          <w:tcPr>
            <w:tcW w:w="160" w:type="dxa"/>
            <w:vAlign w:val="bottom"/>
          </w:tcPr>
          <w:p>
            <w:pPr>
              <w:spacing w:after="0"/>
              <w:rPr>
                <w:sz w:val="24"/>
                <w:szCs w:val="24"/>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(Deficit) for the years ended December 31, 2022, 2021 and 2020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682"/>
        </w:trPr>
        <w:tc>
          <w:tcPr>
            <w:tcW w:w="160" w:type="dxa"/>
            <w:vAlign w:val="bottom"/>
          </w:tcPr>
          <w:p>
            <w:pPr>
              <w:spacing w:after="0"/>
              <w:rPr>
                <w:sz w:val="24"/>
                <w:szCs w:val="24"/>
                <w:color w:val="auto"/>
              </w:rPr>
            </w:pPr>
          </w:p>
        </w:tc>
        <w:tc>
          <w:tcPr>
            <w:tcW w:w="3120" w:type="dxa"/>
            <w:vAlign w:val="bottom"/>
            <w:tcBorders>
              <w:top w:val="single" w:sz="8" w:color="0000FF"/>
            </w:tcBorders>
            <w:gridSpan w:val="2"/>
          </w:tcPr>
          <w:p>
            <w:pPr>
              <w:spacing w:after="0"/>
              <w:rPr>
                <w:sz w:val="24"/>
                <w:szCs w:val="24"/>
                <w:color w:val="auto"/>
              </w:rPr>
            </w:pPr>
          </w:p>
        </w:tc>
        <w:tc>
          <w:tcPr>
            <w:tcW w:w="372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Talkspace, Inc. (the Company) as of December 31, 2022 and 2021, the related consolidated statements of operations, changes in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framework)and our report dated March 10, 2023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Estimation of transaction price with respect to variable consideration for revenue recognition</w:t>
      </w:r>
    </w:p>
    <w:p>
      <w:pPr>
        <w:spacing w:after="0" w:line="254" w:lineRule="exact"/>
        <w:rPr>
          <w:sz w:val="20"/>
          <w:szCs w:val="20"/>
          <w:color w:val="auto"/>
        </w:rPr>
      </w:pPr>
    </w:p>
    <w:p>
      <w:pPr>
        <w:jc w:val="both"/>
        <w:ind w:left="2500" w:right="20" w:hanging="2483"/>
        <w:spacing w:after="0" w:line="254" w:lineRule="auto"/>
        <w:tabs>
          <w:tab w:leader="none" w:pos="248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discussed in Note 2 of the consolidated financial statements, the Company recognizes revenues from contracted insurance payors and employee assistance organizations ("insurance payors") at a point in time based on contracted rates, net of implicit price concessions, as virtual therapy or psychiatry session is rendered ("behavioral healthcare revenues"). The Company estimates the amount of variable consideration that is included in the transaction price using the expected value method based on actual historical collection experience over a twelve-month period by insurance payor. For the year ended December 31, 2022, behavioral healthcare revenues were $36.2 million.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60" w:type="dxa"/>
            <w:vAlign w:val="bottom"/>
          </w:tcPr>
          <w:p>
            <w:pPr>
              <w:spacing w:after="0"/>
              <w:rPr>
                <w:sz w:val="17"/>
                <w:szCs w:val="17"/>
                <w:color w:val="auto"/>
              </w:rPr>
            </w:pPr>
          </w:p>
        </w:tc>
      </w:tr>
      <w:tr>
        <w:trPr>
          <w:trHeight w:val="448"/>
        </w:trPr>
        <w:tc>
          <w:tcPr>
            <w:tcW w:w="128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Auditing management's determination of transaction price including variable consideration was complex and judgmental</w:t>
            </w:r>
          </w:p>
        </w:tc>
      </w:tr>
      <w:tr>
        <w:trPr>
          <w:trHeight w:val="216"/>
        </w:trPr>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to significant data inputs and subjective assumptions utilized in the process. In determining transaction price,</w:t>
            </w:r>
          </w:p>
        </w:tc>
      </w:tr>
      <w:tr>
        <w:trPr>
          <w:trHeight w:val="234"/>
        </w:trPr>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develops estimates based on actual historical collection experience by insurance payor.</w:t>
            </w:r>
          </w:p>
        </w:tc>
      </w:tr>
      <w:tr>
        <w:trPr>
          <w:trHeight w:val="439"/>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 Matter</w:t>
            </w: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test the estimated variable consideration, our audit procedures included, among others, evaluating the subjective</w:t>
            </w:r>
          </w:p>
        </w:tc>
      </w:tr>
      <w:tr>
        <w:trPr>
          <w:trHeight w:val="218"/>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Our Audit</w:t>
            </w: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 and the accuracy and completeness of the underlying data used in management’s calculations. For</w:t>
            </w:r>
          </w:p>
        </w:tc>
      </w:tr>
      <w:tr>
        <w:trPr>
          <w:trHeight w:val="216"/>
        </w:trPr>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price, this included testing management’s estimate through a combination of underlying data validation by</w:t>
            </w:r>
          </w:p>
        </w:tc>
      </w:tr>
      <w:tr>
        <w:trPr>
          <w:trHeight w:val="216"/>
        </w:trPr>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of source documents, independent recalculation of management’s analysis and review for consistency against</w:t>
            </w:r>
          </w:p>
        </w:tc>
      </w:tr>
      <w:tr>
        <w:trPr>
          <w:trHeight w:val="216"/>
        </w:trPr>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historical data. In addition, we inspected the results of the Company’s retrospective review analysis of uncollected</w:t>
            </w:r>
          </w:p>
        </w:tc>
      </w:tr>
      <w:tr>
        <w:trPr>
          <w:trHeight w:val="216"/>
        </w:trPr>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evaluated the estimates made based on historical experience and performed sensitivity analyses over the</w:t>
            </w:r>
          </w:p>
        </w:tc>
      </w:tr>
      <w:tr>
        <w:trPr>
          <w:trHeight w:val="234"/>
        </w:trPr>
        <w:tc>
          <w:tcPr>
            <w:tcW w:w="1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significant assumptions.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Talkspace,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Talkspace, Inc.'s internal control over financial reporting as of December 31, 2022, based on criteria established in Internal Control— Integrated Framework issued by the Committee of Sponsoring Organizations of the Treadway Commission (2013 framework) (the COSO criteria). In our opinion, because of the effect of the material weaknesses described below on the achievement of the objectives of the control criteria, Talkspace, Inc. (the Company) has not maintained effective internal control over financial reporting as of December 31, 2022,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the following material weaknesses in internal controls:</w:t>
      </w:r>
    </w:p>
    <w:p>
      <w:pPr>
        <w:spacing w:after="0" w:line="288" w:lineRule="exact"/>
        <w:rPr>
          <w:sz w:val="20"/>
          <w:szCs w:val="20"/>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 ineffective ITGCs, or that use data produced from systems impacted by the ineffective ITGCs were deemed ineffective at December 31 2022;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have an adequate process in place to monitor and provide oversight over the completion of its testing and assessment of the design and operating effectiveness of internal control over financial reporting in a timely manner.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Talkspace Inc. as of December 31, 2022 and 2021, the related consolidated statements of operations, changes in stockholders' equity (deficit) and cash flows for each of the three years in the period ended December 31, 2022, and the related notes. This material weaknesses were considered in determining the nature, timing and extent of audit tests applied in our audit of the 2022 consolidated financial statements, and this report does not affect our report dated March 10, 2023, which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152,557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213,330</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Pr>
          <w:p>
            <w:pPr>
              <w:spacing w:after="0"/>
              <w:rPr>
                <w:sz w:val="20"/>
                <w:szCs w:val="20"/>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of $0.0001 par value — Authorized: 1,000,000,000 shares at December 31, 2022 and</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2021; Issued and outstanding: 161,155,030 and 152,862,447 shares at December 31, 2022 and 2021,</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378,722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363,788</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(251,202 )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(171,530 )</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127,536</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192,273</w:t>
            </w:r>
          </w:p>
        </w:tc>
        <w:tc>
          <w:tcPr>
            <w:tcW w:w="100" w:type="dxa"/>
            <w:vAlign w:val="bottom"/>
            <w:tcBorders>
              <w:top w:val="single" w:sz="8" w:color="CFF0FC"/>
            </w:tcBorders>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156,254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-3796665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124333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-1885315</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-1567815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0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00" w:type="dxa"/>
            <w:vAlign w:val="bottom"/>
            <w:shd w:val="clear" w:color="auto" w:fill="CFF0FC"/>
          </w:tcPr>
          <w:p>
            <w:pPr>
              <w:spacing w:after="0"/>
              <w:rPr>
                <w:sz w:val="20"/>
                <w:szCs w:val="20"/>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26,353</w:t>
            </w:r>
          </w:p>
        </w:tc>
        <w:tc>
          <w:tcPr>
            <w:tcW w:w="100" w:type="dxa"/>
            <w:vAlign w:val="bottom"/>
          </w:tcPr>
          <w:p>
            <w:pPr>
              <w:spacing w:after="0"/>
              <w:rPr>
                <w:sz w:val="20"/>
                <w:szCs w:val="20"/>
                <w:color w:val="auto"/>
              </w:rPr>
            </w:pPr>
          </w:p>
        </w:tc>
      </w:tr>
      <w:tr>
        <w:trPr>
          <w:trHeight w:val="237"/>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60,338</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operations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100,641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100" w:type="dxa"/>
            <w:vAlign w:val="bottom"/>
            <w:shd w:val="clear" w:color="auto" w:fill="CFF0FC"/>
          </w:tcPr>
          <w:p>
            <w:pPr>
              <w:spacing w:after="0"/>
              <w:rPr>
                <w:sz w:val="21"/>
                <w:szCs w:val="2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20"/>
                <w:szCs w:val="20"/>
                <w:color w:val="auto"/>
              </w:rPr>
            </w:pPr>
          </w:p>
        </w:tc>
      </w:tr>
      <w:tr>
        <w:trPr>
          <w:trHeight w:val="243"/>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goodwill</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143,496</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160,695</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100" w:type="dxa"/>
            <w:vAlign w:val="bottom"/>
            <w:tcBorders>
              <w:top w:val="single" w:sz="8" w:color="CFF0FC"/>
            </w:tcBorders>
          </w:tcPr>
          <w:p>
            <w:pPr>
              <w:spacing w:after="0"/>
              <w:rPr>
                <w:sz w:val="20"/>
                <w:szCs w:val="20"/>
                <w:color w:val="auto"/>
              </w:rPr>
            </w:pPr>
          </w:p>
        </w:tc>
      </w:tr>
      <w:tr>
        <w:trPr>
          <w:trHeight w:val="241"/>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(93,923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30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(3,740 )</w:t>
            </w:r>
          </w:p>
        </w:tc>
        <w:tc>
          <w:tcPr>
            <w:tcW w:w="340" w:type="dxa"/>
            <w:vAlign w:val="bottom"/>
          </w:tcPr>
          <w:p>
            <w:pPr>
              <w:spacing w:after="0"/>
              <w:rPr>
                <w:sz w:val="20"/>
                <w:szCs w:val="20"/>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(31,228 )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r>
        <w:trPr>
          <w:trHeight w:val="241"/>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3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76"/>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(0.51 )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(0.72 )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1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used in computing basic and diluted</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86,775,948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13,359,350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-2511425</wp:posOffset>
            </wp:positionV>
            <wp:extent cx="6858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-2511425</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-2511425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-1576705</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-1576705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-616585</wp:posOffset>
            </wp:positionV>
            <wp:extent cx="223710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37105" cy="17970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U.S. dollars 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160" w:type="dxa"/>
            <w:vAlign w:val="bottom"/>
            <w:tcBorders>
              <w:right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00" w:type="dxa"/>
            <w:vAlign w:val="bottom"/>
          </w:tcPr>
          <w:p>
            <w:pPr>
              <w:spacing w:after="0"/>
              <w:rPr>
                <w:sz w:val="15"/>
                <w:szCs w:val="15"/>
                <w:color w:val="auto"/>
              </w:rPr>
            </w:pPr>
          </w:p>
        </w:tc>
        <w:tc>
          <w:tcPr>
            <w:tcW w:w="1800" w:type="dxa"/>
            <w:vAlign w:val="bottom"/>
            <w:gridSpan w:val="3"/>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2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1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capital </w:t>
            </w:r>
            <w:r>
              <w:rPr>
                <w:rFonts w:ascii="Times New Roman" w:cs="Times New Roman" w:eastAsia="Times New Roman" w:hAnsi="Times New Roman"/>
                <w:sz w:val="19"/>
                <w:szCs w:val="19"/>
                <w:b w:val="1"/>
                <w:bCs w:val="1"/>
                <w:color w:val="auto"/>
                <w:w w:val="95"/>
                <w:vertAlign w:val="superscript"/>
              </w:rPr>
              <w:t>(1)</w:t>
            </w:r>
          </w:p>
        </w:tc>
        <w:tc>
          <w:tcPr>
            <w:tcW w:w="180" w:type="dxa"/>
            <w:vAlign w:val="bottom"/>
          </w:tcPr>
          <w:p>
            <w:pPr>
              <w:spacing w:after="0"/>
              <w:rPr>
                <w:sz w:val="16"/>
                <w:szCs w:val="16"/>
                <w:color w:val="auto"/>
              </w:rPr>
            </w:pPr>
          </w:p>
        </w:tc>
        <w:tc>
          <w:tcPr>
            <w:tcW w:w="9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13,223,672</w:t>
            </w:r>
          </w:p>
        </w:tc>
        <w:tc>
          <w:tcPr>
            <w:tcW w:w="20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(86,418</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189,759</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(22,370 )</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(22,370 )</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13,413,431</w:t>
            </w:r>
          </w:p>
        </w:tc>
        <w:tc>
          <w:tcPr>
            <w:tcW w:w="200" w:type="dxa"/>
            <w:vAlign w:val="bottom"/>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2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(108,788</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3,627,127</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282,415</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(491 )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related to exercise of</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98,871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of warrants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(94,582,55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(111,282 )</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Business Combination and PIPE offering, net of</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40,858,053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(62,742 )</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(62,742 )</w:t>
            </w:r>
          </w:p>
        </w:tc>
        <w:tc>
          <w:tcPr>
            <w:tcW w:w="0" w:type="dxa"/>
            <w:vAlign w:val="bottom"/>
          </w:tcPr>
          <w:p>
            <w:pPr>
              <w:spacing w:after="0"/>
              <w:rPr>
                <w:sz w:val="1"/>
                <w:szCs w:val="1"/>
                <w:color w:val="auto"/>
              </w:rPr>
            </w:pPr>
          </w:p>
        </w:tc>
      </w:tr>
      <w:tr>
        <w:trPr>
          <w:trHeight w:val="202"/>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w:t>
            </w:r>
          </w:p>
        </w:tc>
        <w:tc>
          <w:tcPr>
            <w:tcW w:w="20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(171,530 )</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5,331,634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2,960,949</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(362 )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(79,672 )</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(79,672 )</w:t>
            </w:r>
          </w:p>
        </w:tc>
        <w:tc>
          <w:tcPr>
            <w:tcW w:w="0" w:type="dxa"/>
            <w:vAlign w:val="bottom"/>
          </w:tcPr>
          <w:p>
            <w:pPr>
              <w:spacing w:after="0"/>
              <w:rPr>
                <w:sz w:val="1"/>
                <w:szCs w:val="1"/>
                <w:color w:val="auto"/>
              </w:rPr>
            </w:pPr>
          </w:p>
        </w:tc>
      </w:tr>
      <w:tr>
        <w:trPr>
          <w:trHeight w:val="202"/>
        </w:trPr>
        <w:tc>
          <w:tcPr>
            <w:tcW w:w="3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Borders>
              <w:top w:val="single" w:sz="8" w:color="CFF0FC"/>
              <w:right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161,155,03</w:t>
            </w:r>
          </w:p>
        </w:tc>
        <w:tc>
          <w:tcPr>
            <w:tcW w:w="200" w:type="dxa"/>
            <w:vAlign w:val="bottom"/>
            <w:tcBorders>
              <w:top w:val="single" w:sz="8" w:color="CFF0FC"/>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920" w:type="dxa"/>
            <w:vAlign w:val="bottom"/>
            <w:gridSpan w:val="2"/>
          </w:tcPr>
          <w:p>
            <w:pPr>
              <w:jc w:val="right"/>
              <w:ind w:right="54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378,722</w:t>
            </w:r>
          </w:p>
        </w:tc>
        <w:tc>
          <w:tcPr>
            <w:tcW w:w="2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(251,202 )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-307975</wp:posOffset>
            </wp:positionV>
            <wp:extent cx="76835" cy="308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-307975</wp:posOffset>
            </wp:positionV>
            <wp:extent cx="76835" cy="3086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-307975</wp:posOffset>
            </wp:positionV>
            <wp:extent cx="68580" cy="308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-307975</wp:posOffset>
            </wp:positionV>
            <wp:extent cx="68580" cy="308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-307975</wp:posOffset>
            </wp:positionV>
            <wp:extent cx="68580"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-307975</wp:posOffset>
            </wp:positionV>
            <wp:extent cx="68580" cy="308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an amount lower than $1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 dollars in thousands</w:t>
      </w:r>
    </w:p>
    <w:p>
      <w:pPr>
        <w:spacing w:after="0" w:line="20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17"/>
        </w:trPr>
        <w:tc>
          <w:tcPr>
            <w:tcW w:w="20" w:type="dxa"/>
            <w:vAlign w:val="bottom"/>
            <w:shd w:val="clear" w:color="auto" w:fill="CFF0FC"/>
          </w:tcPr>
          <w:p>
            <w:pPr>
              <w:spacing w:after="0"/>
              <w:rPr>
                <w:sz w:val="18"/>
                <w:szCs w:val="18"/>
                <w:color w:val="auto"/>
              </w:rPr>
            </w:pPr>
          </w:p>
        </w:tc>
        <w:tc>
          <w:tcPr>
            <w:tcW w:w="6440" w:type="dxa"/>
            <w:vAlign w:val="bottom"/>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9"/>
        </w:trPr>
        <w:tc>
          <w:tcPr>
            <w:tcW w:w="20" w:type="dxa"/>
            <w:vAlign w:val="bottom"/>
            <w:tcBorders>
              <w:top w:val="single" w:sz="8" w:color="CFF0FC"/>
            </w:tcBorders>
          </w:tcPr>
          <w:p>
            <w:pPr>
              <w:spacing w:after="0"/>
              <w:rPr>
                <w:sz w:val="20"/>
                <w:szCs w:val="20"/>
                <w:color w:val="auto"/>
              </w:rPr>
            </w:pPr>
          </w:p>
        </w:tc>
        <w:tc>
          <w:tcPr>
            <w:tcW w:w="2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3620" w:type="dxa"/>
            <w:vAlign w:val="bottom"/>
            <w:tcBorders>
              <w:top w:val="single" w:sz="8" w:color="CFF0FC"/>
            </w:tcBorders>
          </w:tcPr>
          <w:p>
            <w:pPr>
              <w:spacing w:after="0"/>
              <w:rPr>
                <w:sz w:val="20"/>
                <w:szCs w:val="20"/>
                <w:color w:val="auto"/>
              </w:rPr>
            </w:pPr>
          </w:p>
        </w:tc>
        <w:tc>
          <w:tcPr>
            <w:tcW w:w="340" w:type="dxa"/>
            <w:vAlign w:val="bottom"/>
            <w:tcBorders>
              <w:top w:val="single" w:sz="8" w:color="CFF0FC"/>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CFF0FC"/>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(79,672 )</w:t>
            </w:r>
          </w:p>
        </w:tc>
        <w:tc>
          <w:tcPr>
            <w:tcW w:w="32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(62,742 )</w:t>
            </w:r>
          </w:p>
        </w:tc>
        <w:tc>
          <w:tcPr>
            <w:tcW w:w="320" w:type="dxa"/>
            <w:vAlign w:val="bottom"/>
            <w:tcBorders>
              <w:top w:val="single" w:sz="8" w:color="CFF0FC"/>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(22,370 )</w:t>
            </w:r>
          </w:p>
        </w:tc>
      </w:tr>
      <w:tr>
        <w:trPr>
          <w:trHeight w:val="247"/>
        </w:trPr>
        <w:tc>
          <w:tcPr>
            <w:tcW w:w="64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Remeasurement of warrant liabilities</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(3,131 )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(31,784 )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(4,126 )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(5,017 )</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(8,053 )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(Decrease) increase in accounts payable</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(968 )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34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(2,831 )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accrued expenses and other current liabilities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Increase in other liabilities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4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7"/>
        </w:trPr>
        <w:tc>
          <w:tcPr>
            <w:tcW w:w="6460" w:type="dxa"/>
            <w:vAlign w:val="bottom"/>
            <w:gridSpan w:val="7"/>
          </w:tcPr>
          <w:p>
            <w:pPr>
              <w:ind w:left="20"/>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(350 )</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(663 )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(10,685 )</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Purchase of an intangible asset</w:t>
            </w:r>
          </w:p>
        </w:tc>
        <w:tc>
          <w:tcPr>
            <w:tcW w:w="34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(939 )</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6440" w:type="dxa"/>
            <w:vAlign w:val="bottom"/>
            <w:tcBorders>
              <w:bottom w:val="single" w:sz="8" w:color="CFF0FC"/>
            </w:tcBorders>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restricted long-term bank deposit</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(317 )</w:t>
            </w:r>
          </w:p>
        </w:tc>
        <w:tc>
          <w:tcPr>
            <w:tcW w:w="3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(663 )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(11,303 )</w:t>
            </w:r>
          </w:p>
        </w:tc>
      </w:tr>
      <w:tr>
        <w:trPr>
          <w:trHeight w:val="187"/>
        </w:trPr>
        <w:tc>
          <w:tcPr>
            <w:tcW w:w="20" w:type="dxa"/>
            <w:vAlign w:val="bottom"/>
            <w:shd w:val="clear" w:color="auto" w:fill="CFF0FC"/>
          </w:tcPr>
          <w:p>
            <w:pPr>
              <w:spacing w:after="0"/>
              <w:rPr>
                <w:sz w:val="16"/>
                <w:szCs w:val="16"/>
                <w:color w:val="auto"/>
              </w:rPr>
            </w:pPr>
          </w:p>
        </w:tc>
        <w:tc>
          <w:tcPr>
            <w:tcW w:w="6440" w:type="dxa"/>
            <w:vAlign w:val="bottom"/>
            <w:gridSpan w:val="6"/>
            <w:shd w:val="clear" w:color="auto" w:fill="CFF0FC"/>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auto"/>
            </w:tcBorders>
            <w:shd w:val="clear" w:color="auto" w:fill="CFF0FC"/>
          </w:tcPr>
          <w:p>
            <w:pPr>
              <w:spacing w:after="0"/>
              <w:rPr>
                <w:sz w:val="2"/>
                <w:szCs w:val="2"/>
                <w:color w:val="auto"/>
              </w:rPr>
            </w:pPr>
          </w:p>
        </w:tc>
        <w:tc>
          <w:tcPr>
            <w:tcW w:w="66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auto"/>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proceeds from reverse capitalization, net of transaction costs</w:t>
            </w:r>
          </w:p>
        </w:tc>
        <w:tc>
          <w:tcPr>
            <w:tcW w:w="34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(645 )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4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(853 )</w:t>
            </w:r>
          </w:p>
        </w:tc>
        <w:tc>
          <w:tcPr>
            <w:tcW w:w="32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64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Repayment of borrowings</w:t>
            </w:r>
          </w:p>
        </w:tc>
        <w:tc>
          <w:tcPr>
            <w:tcW w:w="34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(6,000 )</w:t>
            </w:r>
          </w:p>
        </w:tc>
        <w:tc>
          <w:tcPr>
            <w:tcW w:w="32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FF0FC"/>
          </w:tcPr>
          <w:p>
            <w:pPr>
              <w:spacing w:after="0"/>
              <w:rPr>
                <w:sz w:val="21"/>
                <w:szCs w:val="21"/>
                <w:color w:val="auto"/>
              </w:rPr>
            </w:pPr>
          </w:p>
        </w:tc>
        <w:tc>
          <w:tcPr>
            <w:tcW w:w="6440" w:type="dxa"/>
            <w:vAlign w:val="bottom"/>
            <w:gridSpan w:val="6"/>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460" w:type="dxa"/>
            <w:vAlign w:val="bottom"/>
            <w:tcBorders>
              <w:top w:val="single" w:sz="8" w:color="CFF0FC"/>
            </w:tcBorders>
            <w:gridSpan w:val="7"/>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251,382</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FF0FC"/>
            </w:tcBorders>
          </w:tcPr>
          <w:p>
            <w:pPr>
              <w:spacing w:after="0"/>
              <w:rPr>
                <w:sz w:val="20"/>
                <w:szCs w:val="20"/>
                <w:color w:val="auto"/>
              </w:rPr>
            </w:pPr>
          </w:p>
        </w:tc>
      </w:tr>
      <w:tr>
        <w:trPr>
          <w:trHeight w:val="241"/>
        </w:trPr>
        <w:tc>
          <w:tcPr>
            <w:tcW w:w="64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(59,711</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185,008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39,632</w:t>
            </w:r>
          </w:p>
        </w:tc>
        <w:tc>
          <w:tcPr>
            <w:tcW w:w="100" w:type="dxa"/>
            <w:vAlign w:val="bottom"/>
          </w:tcPr>
          <w:p>
            <w:pPr>
              <w:spacing w:after="0"/>
              <w:rPr>
                <w:sz w:val="20"/>
                <w:szCs w:val="20"/>
                <w:color w:val="auto"/>
              </w:rPr>
            </w:pPr>
          </w:p>
        </w:tc>
      </w:tr>
      <w:tr>
        <w:trPr>
          <w:trHeight w:val="276"/>
        </w:trPr>
        <w:tc>
          <w:tcPr>
            <w:tcW w:w="646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138,545</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7"/>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Supplemental cash flow data:</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9"/>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Non-cash investing activity:</w:t>
            </w:r>
          </w:p>
        </w:tc>
        <w:tc>
          <w:tcPr>
            <w:tcW w:w="4400" w:type="dxa"/>
            <w:vAlign w:val="bottom"/>
            <w:tcBorders>
              <w:bottom w:val="single" w:sz="8" w:color="CFF0FC"/>
            </w:tcBorders>
            <w:gridSpan w:val="5"/>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193"/>
        </w:trPr>
        <w:tc>
          <w:tcPr>
            <w:tcW w:w="20" w:type="dxa"/>
            <w:vAlign w:val="bottom"/>
            <w:shd w:val="clear" w:color="auto" w:fill="CFF0FC"/>
          </w:tcPr>
          <w:p>
            <w:pPr>
              <w:spacing w:after="0"/>
              <w:rPr>
                <w:sz w:val="16"/>
                <w:szCs w:val="16"/>
                <w:color w:val="auto"/>
              </w:rPr>
            </w:pPr>
          </w:p>
        </w:tc>
        <w:tc>
          <w:tcPr>
            <w:tcW w:w="6440" w:type="dxa"/>
            <w:vAlign w:val="bottom"/>
            <w:gridSpan w:val="6"/>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Non-cash financing activity:</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20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20" w:type="dxa"/>
            <w:vAlign w:val="bottom"/>
            <w:tcBorders>
              <w:top w:val="single" w:sz="8" w:color="CFF0FC"/>
            </w:tcBorders>
            <w:shd w:val="clear" w:color="auto" w:fill="CFF0FC"/>
          </w:tcPr>
          <w:p>
            <w:pPr>
              <w:spacing w:after="0"/>
              <w:rPr>
                <w:sz w:val="2"/>
                <w:szCs w:val="2"/>
                <w:color w:val="auto"/>
              </w:rPr>
            </w:pPr>
          </w:p>
        </w:tc>
        <w:tc>
          <w:tcPr>
            <w:tcW w:w="3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r>
      <w:tr>
        <w:trPr>
          <w:trHeight w:val="239"/>
        </w:trPr>
        <w:tc>
          <w:tcPr>
            <w:tcW w:w="20" w:type="dxa"/>
            <w:vAlign w:val="bottom"/>
          </w:tcPr>
          <w:p>
            <w:pPr>
              <w:spacing w:after="0"/>
              <w:rPr>
                <w:sz w:val="20"/>
                <w:szCs w:val="20"/>
                <w:color w:val="auto"/>
              </w:rPr>
            </w:pPr>
          </w:p>
        </w:tc>
        <w:tc>
          <w:tcPr>
            <w:tcW w:w="6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Employee taxes withheld related to restricted stock units vested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6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issuance cost on credit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FF0FC"/>
          </w:tcPr>
          <w:p>
            <w:pPr>
              <w:spacing w:after="0"/>
              <w:rPr>
                <w:sz w:val="21"/>
                <w:szCs w:val="21"/>
                <w:color w:val="auto"/>
              </w:rPr>
            </w:pPr>
          </w:p>
        </w:tc>
      </w:tr>
      <w:tr>
        <w:trPr>
          <w:trHeight w:val="234"/>
        </w:trPr>
        <w:tc>
          <w:tcPr>
            <w:tcW w:w="64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-4391660</wp:posOffset>
            </wp:positionV>
            <wp:extent cx="7683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-4391660</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-4391660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-3456940</wp:posOffset>
            </wp:positionV>
            <wp:extent cx="7683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-3456940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-3456940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-2205355</wp:posOffset>
            </wp:positionV>
            <wp:extent cx="768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-2205355</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-2205355</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-1562735</wp:posOffset>
            </wp:positionV>
            <wp:extent cx="2143125" cy="3346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43125" cy="33464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The Company offers convenient and affordable access to a fully credentialed network of highly qualified providers. Since Talkspace’s founding in 2012, the Company has connected millions of patients with licensed behavioral health providers across a wide and growing spectrum of care through virtual counseling, psychotherapy, and psychiatry. Through its platform, Talkspace serves its business-to-business ("B2B") channel, comprised of large enterprise clients, large health plans and employee assistance programs who offer their employees and insured members access to the Company's platform while their employer is under an active contract with Talkspace, or at in-network reimbursement rates, where applicable, and its business-to-consumer ("B2C") channel, comprised of individual consumers who subscribe directly to the Company's platform.</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Talkspace was originally incorporated as Hudson Executive Investment Corp. (“HEC”), a special purpose acquisition company, for the purpose of entering into a merger, share exchange, asset acquisition, stock purchase, recapitalization or other similar business combination with one or more businesses or entities. On January 12, 2021, HEC, entered into an Agreement and Plan of Merger, dated as of January 12, 2021 (the “Merger Agreement”), with Groop Internet Platform, Inc. (“Old Talkspace”), Tailwind Merger Sub I, Inc., a Delaware corporation and a direct wholly owned subsidiary of HEC (“First Merger Sub”), and Tailwind Merger Sub II, LLC, a Delaware limited liability company (“Second Merger Sub”). On June 22, 2021, as contemplated by the Merger Agreement, First Merger Sub merged with and into Old Talkspace (the “First Merger”) with Old Talkspace surviving the First Merger, and immediately following the First Merger and as part of the same overall transaction as the First Merger, Old Talkspace merged with and into Second Merger Sub, with Second Merger Sub surviving the merger as a wholly owned subsidiary of HEC. The Company refers to this transaction as the Business Combination. In connection with the Business Combination, HEC filed the Certificate of Incorporation and changed its name to “Talkspace, Inc.”</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principal executive office is located in New York, NY. The Company has three wholly owned subsidiaries, Talkspace LLC, Talkspace Network LLC and Groop Internet Platform LTD. In addition, the Company holds a variable interest in one professional association and six professional corporations, which have been established pursuant to the requirements of their respective domestic jurisdiction governing the corporate practice of medicine. See Note 15, “Variable Interest Entities,” in the notes to the consolidated financial statements for further details.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generally accepted accounting principles in the United States of America (“U.S. GAAP”). The consolidated financial statements include the accounts of the Company and its wholly owned subsidiaries and variable interest entities (“VIEs”) for which the Company is the primary beneficiary. Intercompany transactions and balances have been eliminated in the preparation of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judgments, and assumptions that affect the reported amounts of assets, liabilities, revenues and expenses, together with amounts disclosed in the related notes to the consolidated financial statements. The Company’s significant estimates and assumptions used in these financial statements include, but are not limited to, the recognition and disclosure of contingent liabilities, revenue recognition, stock-based compensation awards, the fair value of warrant liabilities and the estimates and assumptions related to the impairment analysis of goodwill and intangible assets. The Company bases its estimates on historical factors, current circumstances and the experience and judgment of management. Estimates, by their nature, are based on judgment and available information, therefore, actual results could be materially different from these estimates.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Old Talkspace was deemed to be the accounting acquirer. Consequently, the consolidated assets, liabilities and results of operations prior to the Business Combination are those of Old Talkspace. The shares and corresponding capital amounts and losses per share, prior to the Business Combination, have been retroactively restated based on shares reflecting the exchange ratio established in the Business Combination.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consolidates all subsidiaries in which it has a controlling financial interest, as well as any VIEs where the Company is deemed to be the primary beneficiary. In the second quarter of 2022, the Company completed the transition of its structure with respect to its relationships with healthcare providers under certain affiliated professional association (“PA”) and professional corporations (“PC”) entities. The Company determined that the PA and PC entities are VIEs. The Company also determined that it is able to direct the activities of these entities that most significantly impact their economic performance and it funds and absorbs all losses of these VIEs resulting in the Company being the primary beneficiary of the PA and PC entities. Accordingly, the Company consolidates the VIEs. See Note 15, “Variable Interest Entities,” in the notes to the consolidated financial statements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Accounting Standard Codification (“ASC”) 805, “Business Combinations”. ASC 805 requires recognition of assets acquired, liabilities assumed, and any non-controlling interest at the acquisition date, measured at their fair values as of that date. The excess of the fair value of the purchase price over the fair values of the identifiable assets and liabilities is recorded as goodwill. Such valuations require management to make significant estimates and assumptions, especially with respect to intangible assets. Acquisition related costs are expensed to the statement of operations in the period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as a single segment and as one reporting unit, which is how the chief operating decision maker, the Company's Chief Executive Officer, reviews financial performance and allocates resources. The majority of the Company’s operations are based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Company’s revenues and costs are denominated in United States dollar (“dollar”). The Company’s management believes that the dollar is the primary currency of the economic environment in which the Company and each of its subsidiaries operate. Thus, the dollar is the Company’s functional and reporting currency.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non-dollar denominated transactions and balances have been re-measured into the functional currency in accordance with ASC 830, “Foreign Currency Matters”. These transactions were not material for the year ended December 31, 2022,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equivalents are short-term, highly liquid investments that are readily convertible to cash, with original maturities of three months or less at the date acquired. The Company’s cash and cash equivalents generally consist of bank deposits and investments in money market funds. The carrying value of cash and cash equivalents approximate their fair values due to the short-term maturities of such instruments.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one major bank in the United States. Generally, these cash and cash equivalents and deposits may be redeemed upon demand. The Company deposits its cash with one major financial institution in the U.S., and its deposits may exceed federally insured limits. Management believes that the financial institution that holds the Company’s and its subsidiaries’ cash and cash equivalents is an institution with high credit standing, and accordingly, minimal credit risk exists with respect to these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r>
      <w:tr>
        <w:trPr>
          <w:trHeight w:val="23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FF0FC"/>
          </w:tcPr>
          <w:p>
            <w:pPr>
              <w:spacing w:after="0"/>
              <w:rPr>
                <w:sz w:val="20"/>
                <w:szCs w:val="20"/>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The right-of-use ("ROU") asset represents the Company’s right to use an underlying asset for the lease term and the lease liability represents an obligation to make payments based on the present value of lease payments over the lease term. The Company uses incremental borrowing rates based on the estimated rate of interest for collateralized borrowing over a similar term of the lease payments at commencement date. The lease term includes options to extend or terminate the lease when it is reasonably certain they will be exercised.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record operating lease ROU assets and lease liabilities for leases with an initial term of 12 months or less. The Company also elected the practical expedient to not separate lease and non-lease components for its leases. See Note 9, "Leases" in the notes to the consolidated financial statements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reflects the excess of the consideration transferred, including the fair value of any contingent consideration and any non-controlling interest in the acquiree, over the assigned fair values of the identifiable net assets acquired. Goodwill is not amortized, and is tested for impairment at least on an annual basis. The Company operates as one reporting unit and the fair value of the reporting unit is estimated using quoted market prices of the Company’s stock in active markets. The Company tests goodwill for impairment annually in the fourth quarter and whenever events or changes in circumstances indicate the carrying amount of goodwill may not be recoverable. When testing goodwill for impairment, the Company may first perform a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The Company may elect to bypass the qualitative assessment and proceed directly to performing a quantitative analysis. Under the quantitative impairment test, if the carrying amount of the Company’s reporting unit exceeds its fair value, the Company will recognize an impairment loss in an amount equal to that excess but limited to the total amount of goodwill. See Note 4, "Goodwill" in the notes to the consolidated financial statements for further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Acquired identifiable finite-lived intangible assets are amortized on a straight-line basis over the estimated useful lives of the assets. The basis of amortization approximates the pattern in which the assets are utilized, over their estimated useful lives. The Company routinely reviews the remaining estimated useful lives of finite-lived intangible assets. In cases where the Company reduces the estimated useful life for any asset, the remaining unamortized balance is amortized or depreciated over the revised estimated useful life. See Note 5, "Intangible Assets, net" in the notes to the consolidated financial statements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 assets subject to amortization, including ROU lease asset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intangible assets subject to amortization and ROU lease assets are reviewed for impairment in accordance with ASC 360, “Accounting for the Impairment or Disposal of Long-Lived Assets”, whenever events or changes in circumstances indicate that the carrying amount of an asset group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No impairment losses were recorded during the years ended December 31, 2022, 2021 or 2020 for these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when the Company satisfies its performance obligation to perform its defined contractual obligations to provide virtual behavioral healthcare services. Revenue is recognized in an amount that reflects the consideration that the Company will be entitled in exchange for the service rendered. To the extent the transaction price includes variable consideration, the Company estimates the amount of variable consideration that is included in the transaction price in accordance using the expected value method, as this method best predicts the amount of consideration to which the Company will be entitled based on the terms of its contracts. Variable consideration is included in the transaction price to the extent it is probable that a significant reversal of cumulative revenue recognized will not occur when the uncertainty associated with the variable consideration is subsequently resolved.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is generated from two revenue streams: B2B and B2C.</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B2B Revenue - </w:t>
      </w:r>
      <w:r>
        <w:rPr>
          <w:rFonts w:ascii="Times New Roman" w:cs="Times New Roman" w:eastAsia="Times New Roman" w:hAnsi="Times New Roman"/>
          <w:sz w:val="18"/>
          <w:szCs w:val="18"/>
          <w:color w:val="auto"/>
        </w:rPr>
        <w:t>Comprised of large enterprise clients and large health plans and employee assistance programs who offer their employees and insured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access to the Company's platform while their employer is under an active contract with Talkspace, or at in-network reimbursement rates, where applicable.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contracts with enterprises to provide access to its therapist platform for their employees, primarily based on a per-member-per-month access fee model. Revenues from access fees are recognized ratably over the contractual term. The majority of contracts with enterprise clients typically range in length from one to three years and are non-cancelable during the initial contractual term. Customers typically have the right to terminate their contracts for cause if the Company fails to perform in accordance with the contractual terms.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contracts with health insurance plans and employee assistance (EAP) organizations ("insurance payors") to provide its therapy and psychiatry services to their eligible covered members. Revenue is recognized at a point in time, as virtual therapy or psychiatry session is rendered. The transaction price is determined based on contracted rates and includes variable consideration in the form of implicit price concessions. The Company determines the total transaction price, including an estimate of variable consideration, at contract inception and reassesses this estimate at each reporting date. The Company estimates the amount of variable consideration that is included in the transaction price using the expected value method primarily based on actual historical collection experience for each insurance payor over a twelve-month period. Revenue from health insurance plans and EAP organizations is presented net of implicit price concessions. Contracts with health insurance plans and EAP organizations include annual evergreen clauses and generally may be terminated by either party typically upon a minimum 60-day advance notice.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B2C Revenue - </w:t>
      </w:r>
      <w:r>
        <w:rPr>
          <w:rFonts w:ascii="Times New Roman" w:cs="Times New Roman" w:eastAsia="Times New Roman" w:hAnsi="Times New Roman"/>
          <w:sz w:val="18"/>
          <w:szCs w:val="18"/>
          <w:color w:val="auto"/>
        </w:rPr>
        <w:t>The Company generates revenues from the sale of monthly, quarterly, bi-annual and annual membership subscriptions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therapy platform as well as supplementary a la carte offerings directly to individual consumers through a subscription plan. The Company recognizes member subscription revenues ratably over the subscription period, beginning when therapy services commence. The Company recognizes revenues from supplementary a la carte offerings at a point in time, as virtual therapy session is rendered. Members may cancel their subscription at any time and will receive a pro-rata refund for the subscription price.</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from member subscription revenue and supplementary a la carte offerings includes variable consideration in the form of refunds. The Company estimates the refund liability for the variable consideration portion of the transaction price primarily based on historical experience. The refund liability is recorded within the “Accrued expenses and other current liabilities” line item in the consolidated balance sheet. Revenue from individual consumers is presented net of refunds.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receivables are stated net of credit losses allowance. The Company is exposed to credit losses primarily through its contracts with enterprise clients, health insurance plans and EAP organizations. The Company’s methodology is based on historical collection experience, customer creditworthiness, current and future economic condition and market condition. Additionally, specific allowance amounts are established to record the appropriate provision for customers that have a higher probability of default. Accounts receivables are written off after all reasonable means to collect the full amount have been exhausted. The allowance for credit losses is immaterial for the years ended December 31, 2022 and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revenues when cash payments from customers are received in advance of the Company's performance obligations to provide services. The Company recognizes deferred revenues as revenues in the statement of operations once the related performance obligations have been performed and satisfied. Deferred revenue that will be recognized during the succeeding twelve-month period is recorded as a current liability and the remaining portion is recorded as a noncurrent liability on the consolidated balance sheet. The Company expects to satisfy the majority of its performance obligations associated with deferred revenue within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“Compensation - Stock Compensation”. Compensation cost for share-based awards is measured at the fair value on the grant date and recognized as expense using the straight-line method for service-based awards over the requisite service period. The Company recognizes forfeitures of awards as they occur.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restricted stock units is measured as the grant-date closing price of the Company’s common stock. The fair value of stock options is determined using the Black-Scholes-Merton option pricing model. The option-pricing model requires a number of assumptions, of which the most significant are the expected stock price volatility and the expected option term. Expected volatility was calculated based upon the Company's historical share price movements as well as similar traded companies’ historical share price movements as adequate historical experience is not available to provide a reasonable estimate based only on the Company's share price. Expected term is calculated based on the simplified method as adequate historical experience is not available to provide a reasonable estimate. The simplified method will continue to apply until enough historical experience is available to provide a reasonable estimate of the expected term. The risk-free interest rate is calculated based on the yield from U.S. Treasury zero-coupon bonds with an equivalent term. The Company has historically not paid dividends and have no foreseeable plans to pay dividends.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our Common Stock prior to the Business Combination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absence of an active market for our shares of common stock prior to the Business Combination, the grant-date fair market value of the common shares underlying stock options was historically determined by management and approved by the Company’s board of directors. Because there was no public market for the Company’s common shares, the Board of Directors exercised reasonable judgment and considered a number of objective and subjective factors to determine the best estimate of the fair market value, which included important developments in the Company’s operations, the prices at which the Company sold shares of its convertible preferred shares, the rights, preferences and privileges of the Company’s convertible preferred shares relative to those of the Company’s common shares, actual operating results, financial performance and the lack of marketability of the Company’s common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a 401(k) plan that qualifies as a deferred compensation arrangement under Section 401 of the Internal Revenue Code. All U.S. employees over the age of 21 are eligible to participate in the plan. The Company contributes 100% of eligible employee’s elective deferral up to 4% of eligible earnings. The Company's matching contributions to participants’ accounts were immaterial for the years ended December 31, 2022, 2021 and 2020,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Under this standard, fair value is defined as the price that would be received to sell an asset or paid to transfer a liability (i.e., the “exit price”) in an orderly transaction between market participants at the measurement date.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used to measure fair value to the extent that relevant observable inputs are not available. An entity develops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unobservable inputs using the best information available in the circumstances, which might include the entity's own data, taking into account all information about market participant assumptions that is reasonably available.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levels of inputs may be used to measure fair value:</w:t>
      </w:r>
    </w:p>
    <w:p>
      <w:pPr>
        <w:spacing w:after="0" w:line="117"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1:</w:t>
        <w:tab/>
        <w:t>Quoted prices in active markets for identical assets or liabilities.</w:t>
      </w:r>
    </w:p>
    <w:p>
      <w:pPr>
        <w:spacing w:after="0" w:line="117" w:lineRule="exact"/>
        <w:rPr>
          <w:sz w:val="20"/>
          <w:szCs w:val="20"/>
          <w:color w:val="auto"/>
        </w:rPr>
      </w:pPr>
    </w:p>
    <w:p>
      <w:pPr>
        <w:ind w:left="380"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of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ind w:left="380"/>
        <w:spacing w:after="0"/>
        <w:tabs>
          <w:tab w:leader="none" w:pos="12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hierarchy also requires an entity to maximize the use of observable inputs and minimize the use of unobservable inputs when measuring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The net deferred tax assets assume sufficient future earnings for their realization, as well as the continued application of currently enacted tax rates. Included in net deferred tax assets is a valuation allowance for deferred tax assets, where management believes it is more-likely-than-not that the deferred tax assets will not be realized in the relevant jurisdiction. If the Company determines that a deferred tax asset will not be realizable, an adjustment to the deferred tax asset will result in a reduction of net earnings at that time. Accrued interest and penalties are included within the related tax asset or liability in the accompanying consolidated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in ASC 740 and the guidance related to accounting for uncertainty in income taxes. 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Company's policy is to recognize interest related to unrecognized tax benefits as interest expense and penalties as operating expenses.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provide deferred tax liabilities when it intends to reinvest earnings of a foreign subsidiary indefinitely or if distributed, no tax liability will be imposed. Undistributed earnings of a foreign subsidiary and unrecognized deferred tax liability related to such earnings are immaterial as of December 31, 2022.</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did not record any provision for uncertain tax positions. The Company does not anticipate that the assessment will significantly increase or decrease within the next 12 months. No accrued interest or penalties were accrued as of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net loss per share using the two-class method required for participating securities. For the year ended December 31, 2020, the Company considered its convertible preferred shares to be participating securities as the holders of the convertible preferred shares would be entitled to dividends that would be distributed to the holders of shares of common stock, on a pro-rata basis assuming conversion of all convertible preferred shares into shares of common stock. These participating securities did not contractually require the holders of such shares to participate in the Company’s losses. As such, net loss for the year ended December 31, 2020 was not allocated to the Company’s participating securities.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share method or the if-converted method based on the nature of such securities. Diluted net loss per share is the same as basic net loss per share in periods when the effects of potentially dilutive shares of shares of common stock are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recent accounting pronouncements and concluded that they are either not applicable to its business or that no material effect is expected on the consolidated financial statements as a result of their future adoption.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from sales to unaffiliated customers disaggregated by revenue source:</w:t>
      </w:r>
    </w:p>
    <w:p>
      <w:pPr>
        <w:spacing w:after="0" w:line="178"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B2B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100" w:type="dxa"/>
            <w:vAlign w:val="bottom"/>
          </w:tcPr>
          <w:p>
            <w:pPr>
              <w:spacing w:after="0"/>
              <w:rPr>
                <w:sz w:val="20"/>
                <w:szCs w:val="20"/>
                <w:color w:val="auto"/>
              </w:rPr>
            </w:pPr>
          </w:p>
        </w:tc>
      </w:tr>
      <w:tr>
        <w:trPr>
          <w:trHeight w:val="247"/>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B2C revenue</w:t>
            </w: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55,158</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74,757</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119,567</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113,671</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76,190</w:t>
            </w:r>
          </w:p>
        </w:tc>
        <w:tc>
          <w:tcPr>
            <w:tcW w:w="100" w:type="dxa"/>
            <w:vAlign w:val="bottom"/>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-187960</wp:posOffset>
            </wp:positionV>
            <wp:extent cx="6032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majority of the Company’s revenues were generated from customers located in the United States.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two customers represented 10% or more of total revenue and no single customer represented 10% or more of total revenue for the years ended December 31, 2021 and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receivables related to revenue from contracts with enterprise clients of $7.4 million and $4.0 million at December 31, 2022 and December 31, 2021, respectively. As of December 31, 2022 and 2021, the balance of receivables related to health insurance plans and EAP organizations was $2.2 million and $1.5 million,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four customers represented 10.4%, 15.1%, 16.9%, 25.0% of the accounts receivable balance. As of December 31, 2021, one customer represented 16.8% of the accounts receivable balance.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and 2021, the Company recognized revenues of $6.2 million and $5.2 million, respectively, that were included in deferred revenues at the beginning of the year. As of December 31, 2022, deferred revenue related mainly to the Company’s B2C subscription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the Company decided to by-pass the qualitative assessment and proceed directly to step one of the impairment test. The Company operates as one reporting unit and the fair value of the reporting unit is estimated using quoted market prices of the Company’s stock in active markets. The annual impairment test indicated that the carrying amount of the reporting unit exceeded its fair value, which was primarily due to the continuous decline in our market capitalization as a result of a deterioration of the current economic environment.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the Company recorded a goodwill impairment charge of $6.1 million. For the years ended December 31, 2021 and 2020, the Company did not record any impairment charge of goodwill.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comprised of the following:</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6"/>
                <w:szCs w:val="16"/>
                <w:color w:val="auto"/>
              </w:rPr>
            </w:pPr>
          </w:p>
        </w:tc>
      </w:tr>
      <w:tr>
        <w:trPr>
          <w:trHeight w:val="169"/>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r>
      <w:tr>
        <w:trPr>
          <w:trHeight w:val="237"/>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finite lives:</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20"/>
                <w:szCs w:val="20"/>
                <w:color w:val="auto"/>
              </w:rPr>
            </w:pPr>
          </w:p>
        </w:tc>
      </w:tr>
      <w:tr>
        <w:trPr>
          <w:trHeight w:val="247"/>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relationship</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shd w:val="clear" w:color="auto" w:fill="CFF0FC"/>
          </w:tcPr>
          <w:p>
            <w:pPr>
              <w:spacing w:after="0"/>
              <w:rPr>
                <w:sz w:val="21"/>
                <w:szCs w:val="21"/>
                <w:color w:val="auto"/>
              </w:rPr>
            </w:pPr>
          </w:p>
        </w:tc>
      </w:tr>
      <w:tr>
        <w:trPr>
          <w:trHeight w:val="239"/>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20"/>
                <w:szCs w:val="20"/>
                <w:color w:val="auto"/>
              </w:rPr>
            </w:pPr>
          </w:p>
        </w:tc>
      </w:tr>
      <w:tr>
        <w:trPr>
          <w:trHeight w:val="277"/>
        </w:trPr>
        <w:tc>
          <w:tcPr>
            <w:tcW w:w="8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7"/>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technology</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FF0FC"/>
          </w:tcPr>
          <w:p>
            <w:pPr>
              <w:spacing w:after="0"/>
              <w:rPr>
                <w:sz w:val="21"/>
                <w:szCs w:val="21"/>
                <w:color w:val="auto"/>
              </w:rPr>
            </w:pPr>
          </w:p>
        </w:tc>
      </w:tr>
      <w:tr>
        <w:trPr>
          <w:trHeight w:val="239"/>
        </w:trPr>
        <w:tc>
          <w:tcPr>
            <w:tcW w:w="8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relationship</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20"/>
                <w:szCs w:val="20"/>
                <w:color w:val="auto"/>
              </w:rPr>
            </w:pPr>
          </w:p>
        </w:tc>
      </w:tr>
      <w:tr>
        <w:trPr>
          <w:trHeight w:val="243"/>
        </w:trPr>
        <w:tc>
          <w:tcPr>
            <w:tcW w:w="8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8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20"/>
                <w:szCs w:val="20"/>
                <w:color w:val="auto"/>
              </w:rPr>
            </w:pPr>
          </w:p>
        </w:tc>
      </w:tr>
      <w:tr>
        <w:trPr>
          <w:trHeight w:val="276"/>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-993775</wp:posOffset>
            </wp:positionV>
            <wp:extent cx="908685"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08685" cy="1797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-350520</wp:posOffset>
            </wp:positionV>
            <wp:extent cx="6858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-350520</wp:posOffset>
            </wp:positionV>
            <wp:extent cx="6858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$0.9 million for the year ended December 31, 2022 ($1.8 million and $0.3 million for the years ended December 31, 2021 and 2020, respectively). Amortization related to intangible assets for acquired technology was included in cost of revenues and amortization related to intangible assets for customer relationships was included in sales and marketing expenses in the Company’s consolidated statement of operations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amortization that will be charged to expense over the remaining life of the intangible assets as of December 31, 2022 is as follows:</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r>
      <w:tr>
        <w:trPr>
          <w:trHeight w:val="237"/>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FF0FC"/>
          </w:tcPr>
          <w:p>
            <w:pPr>
              <w:spacing w:after="0"/>
              <w:rPr>
                <w:sz w:val="20"/>
                <w:szCs w:val="20"/>
                <w:color w:val="auto"/>
              </w:rPr>
            </w:pPr>
          </w:p>
        </w:tc>
      </w:tr>
      <w:tr>
        <w:trPr>
          <w:trHeight w:val="239"/>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0"/>
                <w:szCs w:val="20"/>
                <w:color w:val="auto"/>
              </w:rPr>
            </w:pPr>
          </w:p>
        </w:tc>
      </w:tr>
      <w:tr>
        <w:trPr>
          <w:trHeight w:val="243"/>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 and thereafter</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00" w:type="dxa"/>
            <w:vAlign w:val="bottom"/>
          </w:tcPr>
          <w:p>
            <w:pPr>
              <w:spacing w:after="0"/>
              <w:rPr>
                <w:sz w:val="20"/>
                <w:szCs w:val="20"/>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0"/>
                <w:szCs w:val="20"/>
                <w:color w:val="auto"/>
              </w:rPr>
            </w:pPr>
          </w:p>
        </w:tc>
      </w:tr>
      <w:tr>
        <w:trPr>
          <w:trHeight w:val="20"/>
        </w:trPr>
        <w:tc>
          <w:tcPr>
            <w:tcW w:w="9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other current assets,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assumed in connection with the consummation of the Business Combination and the closing of the Forward Purchase Agreement with the HEC Fund are accounted for as liabilities in accordance with ASC 815-40 and are presented within warrant liabilities in the accompanying consolidated balance sheets. The warrant liabilities were measured at fair value at inception and thereafter on a recurring, quarterly basis, with changes in fair value presented within financial (income) expense, net, in the consolidated statement of operations. 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For the year ended December 31, 2022, the Company had gains related to the revaluation of the Private Placement Warrants of $3.1 million compared to $36.0 million for the year ended December 31, 2021.</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Business Combination, Old Talkspace had issued warrants to purchase its common stock and its Series D preferred stock. In connection with the Business Combination, the warrants to purchase Old Talkspace’s common stock and its Series D preferred stock were exercised and converted into common shares of the Company during June 2021. As of December 31, 2020, there were 60,000 outstanding warrants to purchase the Old Talkspace’s common stock for a price of $0.44 per share and 50,881 outstanding warrants to purchase the Company’s preferred D stock for a price of $2.75 per share. The inputs related to Old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Talkspace’s share prices prior to the Business Combination were determined based on management’s assumptions and based on the Option Pricing Model (“OPM”). The fair value of the underlying preferred share price was determined by the board of directors. These inputs were considered to be a Level 3 measurement.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 during the year ended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40" w:type="dxa"/>
            <w:vAlign w:val="bottom"/>
          </w:tcPr>
          <w:p>
            <w:pPr>
              <w:spacing w:after="0"/>
              <w:rPr>
                <w:sz w:val="11"/>
                <w:szCs w:val="11"/>
                <w:color w:val="auto"/>
              </w:rPr>
            </w:pPr>
          </w:p>
        </w:tc>
        <w:tc>
          <w:tcPr>
            <w:tcW w:w="14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Converted into</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6"/>
                <w:szCs w:val="16"/>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FF0FC"/>
          </w:tcPr>
          <w:p>
            <w:pPr>
              <w:spacing w:after="0"/>
              <w:rPr>
                <w:sz w:val="20"/>
                <w:szCs w:val="20"/>
                <w:color w:val="auto"/>
              </w:rPr>
            </w:pPr>
          </w:p>
        </w:tc>
      </w:tr>
      <w:tr>
        <w:trPr>
          <w:trHeight w:val="407"/>
        </w:trPr>
        <w:tc>
          <w:tcPr>
            <w:tcW w:w="4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Purchases and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Change in fair</w:t>
            </w:r>
          </w:p>
        </w:tc>
        <w:tc>
          <w:tcPr>
            <w:tcW w:w="140" w:type="dxa"/>
            <w:vAlign w:val="bottom"/>
          </w:tcPr>
          <w:p>
            <w:pPr>
              <w:spacing w:after="0"/>
              <w:rPr>
                <w:sz w:val="11"/>
                <w:szCs w:val="11"/>
                <w:color w:val="auto"/>
              </w:rPr>
            </w:pPr>
          </w:p>
        </w:tc>
        <w:tc>
          <w:tcPr>
            <w:tcW w:w="142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Converted into</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6"/>
                <w:szCs w:val="16"/>
                <w:color w:val="auto"/>
              </w:rPr>
            </w:pPr>
          </w:p>
        </w:tc>
      </w:tr>
      <w:tr>
        <w:trPr>
          <w:trHeight w:val="23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40,278</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(36,208</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shd w:val="clear" w:color="auto" w:fill="CFF0FC"/>
          </w:tcPr>
          <w:p>
            <w:pPr>
              <w:spacing w:after="0"/>
              <w:rPr>
                <w:sz w:val="20"/>
                <w:szCs w:val="20"/>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Old Talkspace Warrants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Business Combination, the Company also acquired Public Warrants from HEC and also issued equity warrants to certain consultants. The Company determined these warrants met the criteria to be classified as equity in accordance with ASC 815-40. The Company valued these warrants using the instrument’s publicly listed trading price on the date of acquisition or issuance, where applicable, and included in additional paid-in capital within stockholder’s deficit. This is considered to be a non-recurring Level 1 measurement due to the use of an observable market quote in an active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2022, the Company and certain of its current and former officers and directors were named as defendants in securities class action complaints filed in the United States District Court for the Southern District of New York under the case headings: (1) Baron v. Talkspace et al., No. 22-cv-00163 (S.D.N.Y.) and (2) Valdez v. Talkspace et al., No. 22-cv-00840 (S.D.N.Y.). These securities actions asserted violations of sections 10(b), 14(a) and 20(a) of the Securities Exchange Act of 1934 and SEC Rules 10b-5 and 14a-9 promulgated thereunder. These actions generally relate to public disclosures and statements by the Company in connection with its merger with HEC. In June 2022, these actions were consolidated under the caption In re Talkspace, Inc. Securities Litigation (the “Consolidated Securities Action”).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2022, the company’s subsidiary Tailwind Merger Sub II, LLC, certain of the Company’s current and former directors and officers, and others were named as defendants in a putative class action complaint filed in the Delaware Court of Chancery under the case caption Valdez v. Braunstein, et al., Case No. 2022-1148 (the “Delaware Action”). The Delaware Action asserts claims for breach of fiduciary duty and aiding and abetting breach of fiduciary duty relating to the merger with HEC, among other things, based on many of the same facts at issue in the Consolidated Securities Action. The complaint seeks, among other things damages on behalf of putative class members who did not redeem their shares in connection with the Company’s merger with HEC.</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resolved the Consolidated Securities Action and the Delaware Action through mediation. The settlement resolves these litigations with respect to all named defendants. The Company recorded an accrual for its respective share of the settlement agreement as of December 31, 2022. The settlement will have to be approved by the court, which the Company expects will occur in the second or third quarter of 2023.</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and July 2022, two individuals filed stockholder derivative lawsuits purportedly on behalf of Talkspace in the United States District Court for the Southern District of New York under the case captions: (1) Odsvall v. Oren Frank et al., No. 22-cv-05016 (S.D.N.Y.) and (2) Nayman v. Berg, et al., No. 22-cv-06258 (S.D.N.Y.), which were subsequently consolidated (the “Derivative Action”). The Derivative Action names certain of the Company’s current and former officers and directors as defendants and the Company as a nominal defendant. The Derivative Action asserts claims for violations of federal securities laws, breach of fiduciary duty, and aiding and abetting breaches of fiduciary duty relating to the merger with HEC, among other things, based on many of the same facts at issue in the Consolidated Securities Action. In February 2023 the parties agreed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resolve the Derivative Action with respect to all named defendants in exchange for the Company’s agreement to implement certain changes to its Governance environment. The settlement will have to be approved by the court, which the Company expects will occur in the second or third quarter of 2023. The Company is responsible for payment of legal fees to the counsel representing the plaintiffs in the Derivative Action. The Company accrued the estimated total legal fees as of December 31, 2022.</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had been incurred and the Company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69"/>
        </w:trPr>
        <w:tc>
          <w:tcPr>
            <w:tcW w:w="8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FF0FC"/>
          </w:tcPr>
          <w:p>
            <w:pPr>
              <w:spacing w:after="0"/>
              <w:rPr>
                <w:sz w:val="20"/>
                <w:szCs w:val="20"/>
                <w:color w:val="auto"/>
              </w:rPr>
            </w:pPr>
          </w:p>
        </w:tc>
      </w:tr>
      <w:tr>
        <w:trPr>
          <w:trHeight w:val="24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(642 )</w:t>
            </w:r>
          </w:p>
        </w:tc>
        <w:tc>
          <w:tcPr>
            <w:tcW w:w="26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(302 )</w:t>
            </w:r>
          </w:p>
        </w:tc>
      </w:tr>
      <w:tr>
        <w:trPr>
          <w:trHeight w:val="276"/>
        </w:trPr>
        <w:tc>
          <w:tcPr>
            <w:tcW w:w="8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included in general and administrative expense in the consolidated statement of operations, was $0.4 million, $0.2 million and $0.1 million for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2022, the Company entered into a long-term lease agreement lease for new office space in New York, NY. This operating lease expires two years from the commencement date and has the option to be renewed for an additional year. The Company recognized ROU lease asset and lease liability based on the present value of the future minimum lease payments at the lease commencement date. The Company did not include the renewal options as part of the ROU lease asset and lease liability at the commencement date as it was not reasonably certain that the renewal option will be exercised. The Company used incremental borrowing rates based on the estimated rate of interest for collateralized borrowing over a similar term of the lease payments at commencement date in determining the present value of future payments. As of December 31, 2022, the weighted-average remaining lease term was 1.83 years and weighted-average discount rate was 7.17%. As of December 31, 2022, the ROU lease asset was of $0.4 million and is included within the "Other assets" line item in the consolidated balance sheet. As of December 31, 2022, the short-term portion of the lease liability was $0.2 million and is included within the "Accrued expenses and other current liabilities" line item in the consolidated balance sheet. As of December 31, 2022, the long-term portion of the lease liability was $0.3 million and is included within the "Other liabilities" line item in the consolidated balance sheet. Operating lease costs recognized for the year ended December 31, 2022 were immaterial.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Company's wholly owned subsidiary, Groop Internet Platform LTD, located in Israel, leases its operating facilities under a month-to-month operating lease agreement. Leases with an initial term of 12 months or less are not recorded on the balance sheet. The Company recognizes rent expense for these leases on a straight-line basis over the lease term. Rent expense related to these leases for the years ended December 31, 2022, 2021 and 2020 was $0.2 million, $0.1 million and $0.5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maturities of the Company’s lease liabilities as of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7"/>
        </w:trPr>
        <w:tc>
          <w:tcPr>
            <w:tcW w:w="814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0"/>
                <w:szCs w:val="20"/>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r>
      <w:tr>
        <w:trPr>
          <w:trHeight w:val="241"/>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0"/>
                <w:szCs w:val="20"/>
                <w:color w:val="auto"/>
              </w:rPr>
            </w:pPr>
          </w:p>
        </w:tc>
      </w:tr>
      <w:tr>
        <w:trPr>
          <w:trHeight w:val="239"/>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81"/>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CAPITAL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December 31, 2022 and 2021 there were 12,780,000 Private Placement Warrants and 21,350,000 Public Warrants to purchase the Company’s common stock at an exercise price of $11.50 per share. As of December 31, 2022 and 2021, no shares of preferred stock were issued or outstanding.</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adopted the 2021 Incentive Award Plan (the “2021 Plan”) under which the Company may grant cash and equity incentive awards to officers, employees, directors, consultants and service providers in order to attract, motivate and retain the talent. In connection with the effectiveness of the 2021 Plan, no further awards will be granted under the 2014 Plan.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 As of December 31, 2022, no employee stock purchases have been made under the 2021 ESPP.</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consolidated statement of operations over the period during which the employee is required to perform services in exchange for the award.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a four-year period and are exercisable a maximum period of ten years. A summary of the Company’s stock option activity for the year ended December 31, 2022 is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7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ind w:left="361"/>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160" w:type="dxa"/>
            <w:vAlign w:val="bottom"/>
          </w:tcPr>
          <w:p>
            <w:pPr>
              <w:jc w:val="center"/>
              <w:ind w:left="341"/>
              <w:spacing w:after="0" w:line="151"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00"/>
              <w:spacing w:after="0" w:line="151" w:lineRule="exact"/>
              <w:rPr>
                <w:sz w:val="20"/>
                <w:szCs w:val="20"/>
                <w:color w:val="auto"/>
              </w:rPr>
            </w:pPr>
            <w:r>
              <w:rPr>
                <w:rFonts w:ascii="Times New Roman" w:cs="Times New Roman" w:eastAsia="Times New Roman" w:hAnsi="Times New Roman"/>
                <w:sz w:val="13"/>
                <w:szCs w:val="13"/>
                <w:b w:val="1"/>
                <w:bCs w:val="1"/>
                <w:color w:val="auto"/>
              </w:rPr>
              <w:t xml:space="preserve">intrinsic value </w:t>
            </w:r>
            <w:r>
              <w:rPr>
                <w:rFonts w:ascii="Times New Roman" w:cs="Times New Roman" w:eastAsia="Times New Roman" w:hAnsi="Times New Roman"/>
                <w:sz w:val="17"/>
                <w:szCs w:val="17"/>
                <w:b w:val="1"/>
                <w:bCs w:val="1"/>
                <w:color w:val="auto"/>
                <w:vertAlign w:val="superscript"/>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19,494,202</w:t>
            </w:r>
          </w:p>
        </w:tc>
        <w:tc>
          <w:tcPr>
            <w:tcW w:w="1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4,175,212</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(5,331,634 )</w:t>
            </w:r>
          </w:p>
        </w:tc>
        <w:tc>
          <w:tcPr>
            <w:tcW w:w="1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(1,461,454 )</w:t>
            </w: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Outstanding at end of year </w:t>
            </w:r>
            <w:r>
              <w:rPr>
                <w:rFonts w:ascii="Times New Roman" w:cs="Times New Roman" w:eastAsia="Times New Roman" w:hAnsi="Times New Roman"/>
                <w:sz w:val="24"/>
                <w:szCs w:val="24"/>
                <w:color w:val="auto"/>
                <w:vertAlign w:val="superscript"/>
              </w:rPr>
              <w:t>(2)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16,876,326</w:t>
            </w:r>
          </w:p>
        </w:tc>
        <w:tc>
          <w:tcPr>
            <w:tcW w:w="1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11,641,663</w:t>
            </w:r>
          </w:p>
        </w:tc>
        <w:tc>
          <w:tcPr>
            <w:tcW w:w="140" w:type="dxa"/>
            <w:vAlign w:val="bottom"/>
          </w:tcPr>
          <w:p>
            <w:pPr>
              <w:spacing w:after="0"/>
              <w:rPr>
                <w:sz w:val="20"/>
                <w:szCs w:val="20"/>
                <w:color w:val="auto"/>
              </w:rPr>
            </w:pPr>
          </w:p>
        </w:tc>
        <w:tc>
          <w:tcPr>
            <w:tcW w:w="116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6858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032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032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25" w:lineRule="exact"/>
        <w:rPr>
          <w:sz w:val="20"/>
          <w:szCs w:val="20"/>
          <w:color w:val="auto"/>
        </w:rPr>
      </w:pPr>
    </w:p>
    <w:p>
      <w:pPr>
        <w:ind w:left="1020" w:hanging="503"/>
        <w:spacing w:after="0" w:line="253" w:lineRule="auto"/>
        <w:tabs>
          <w:tab w:leader="none" w:pos="10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intrinsic value of options outstanding at end of the year and options exercisable at end of the year does not include 11,861,426 and 6,626,765 options that are out of the money, respectively.</w:t>
      </w:r>
    </w:p>
    <w:p>
      <w:pPr>
        <w:ind w:left="1020" w:hanging="503"/>
        <w:spacing w:after="0"/>
        <w:tabs>
          <w:tab w:leader="none" w:pos="10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650,000 fully-vested options with an exercise price of $11.50 issued in June 2021 to a consultant in connection with the Business Combination.</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granted to employees during the years ended December 31, 2022 and 2021 was $0.88 and $3.81 per share,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for options granted for the years ended December 31, 2022, 2021 and 2020 was estimated on the date of grant using a Black-Scholes-Merton options pricing model with the following weighted average assumptions:</w:t>
      </w:r>
    </w:p>
    <w:p>
      <w:pPr>
        <w:spacing w:after="0" w:line="115"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94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2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37"/>
        </w:trPr>
        <w:tc>
          <w:tcPr>
            <w:tcW w:w="4400" w:type="dxa"/>
            <w:vAlign w:val="bottom"/>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(1)</w:t>
            </w:r>
          </w:p>
        </w:tc>
        <w:tc>
          <w:tcPr>
            <w:tcW w:w="1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66.80%-86.13%</w:t>
            </w:r>
          </w:p>
        </w:tc>
        <w:tc>
          <w:tcPr>
            <w:tcW w:w="194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9"/>
              </w:rPr>
              <w:t>65.00%-75.23%</w:t>
            </w:r>
          </w:p>
        </w:tc>
        <w:tc>
          <w:tcPr>
            <w:tcW w:w="202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9"/>
              </w:rPr>
              <w:t>53.96%-66.55%</w:t>
            </w:r>
          </w:p>
        </w:tc>
      </w:tr>
      <w:tr>
        <w:trPr>
          <w:trHeight w:val="243"/>
        </w:trPr>
        <w:tc>
          <w:tcPr>
            <w:tcW w:w="440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1.76%-4.11%</w:t>
            </w:r>
          </w:p>
        </w:tc>
        <w:tc>
          <w:tcPr>
            <w:tcW w:w="1940" w:type="dxa"/>
            <w:vAlign w:val="bottom"/>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rPr>
              <w:t>0.66%-1.39%</w:t>
            </w:r>
          </w:p>
        </w:tc>
        <w:tc>
          <w:tcPr>
            <w:tcW w:w="2020" w:type="dxa"/>
            <w:vAlign w:val="bottom"/>
            <w:gridSpan w:val="2"/>
            <w:shd w:val="clear" w:color="auto" w:fill="CFF0FC"/>
          </w:tcPr>
          <w:p>
            <w:pPr>
              <w:jc w:val="center"/>
              <w:ind w:left="15"/>
              <w:spacing w:after="0"/>
              <w:rPr>
                <w:sz w:val="20"/>
                <w:szCs w:val="20"/>
                <w:color w:val="auto"/>
              </w:rPr>
            </w:pPr>
            <w:r>
              <w:rPr>
                <w:rFonts w:ascii="Times New Roman" w:cs="Times New Roman" w:eastAsia="Times New Roman" w:hAnsi="Times New Roman"/>
                <w:sz w:val="18"/>
                <w:szCs w:val="18"/>
                <w:color w:val="auto"/>
              </w:rPr>
              <w:t>0.25%-1.45%</w:t>
            </w:r>
          </w:p>
        </w:tc>
      </w:tr>
      <w:tr>
        <w:trPr>
          <w:trHeight w:val="31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Expected term (years) </w:t>
            </w:r>
            <w:r>
              <w:rPr>
                <w:rFonts w:ascii="Times New Roman" w:cs="Times New Roman" w:eastAsia="Times New Roman" w:hAnsi="Times New Roman"/>
                <w:sz w:val="24"/>
                <w:szCs w:val="24"/>
                <w:color w:val="auto"/>
                <w:vertAlign w:val="superscript"/>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5.07-6.25</w:t>
            </w:r>
          </w:p>
        </w:tc>
        <w:tc>
          <w:tcPr>
            <w:tcW w:w="194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8"/>
              </w:rPr>
              <w:t>5.27-6.25</w:t>
            </w:r>
          </w:p>
        </w:tc>
        <w:tc>
          <w:tcPr>
            <w:tcW w:w="202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98"/>
              </w:rPr>
              <w:t>5.27-6.08</w:t>
            </w:r>
          </w:p>
        </w:tc>
      </w:tr>
    </w:tbl>
    <w:p>
      <w:pPr>
        <w:spacing w:after="0" w:line="7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dividends were paid during the years ending December 31, 2022, 2021 and 2020.</w:t>
      </w:r>
    </w:p>
    <w:p>
      <w:pPr>
        <w:spacing w:after="0" w:line="25" w:lineRule="exact"/>
        <w:rPr>
          <w:rFonts w:ascii="Times New Roman" w:cs="Times New Roman" w:eastAsia="Times New Roman" w:hAnsi="Times New Roman"/>
          <w:sz w:val="15"/>
          <w:szCs w:val="15"/>
          <w:color w:val="auto"/>
        </w:rPr>
      </w:pPr>
    </w:p>
    <w:p>
      <w:pPr>
        <w:ind w:left="1020" w:hanging="503"/>
        <w:spacing w:after="0" w:line="247" w:lineRule="auto"/>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volatility was calculated based upon historical stock price movements of the Company and similar publicly traded peer companies over the most recent periods ending on the grant date, equal to the expected term of the options, as adequate historical experience is not available to provide a reasonable estimate.</w:t>
      </w:r>
    </w:p>
    <w:p>
      <w:pPr>
        <w:ind w:left="1020" w:hanging="503"/>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risk-free interest rate is based on the yield from U.S. treasury bonds with an equivalent term to the expected term of the options</w:t>
      </w:r>
    </w:p>
    <w:p>
      <w:pPr>
        <w:spacing w:after="0" w:line="30"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expected term of options granted is calculated using the simplified method for “plain vanilla” stock options awards.</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$11.5 million of total unrecognized compensation cost related to non-vested options that are expected to be recognized over a period of up to 5.2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Restricted Stock Units ("RSUs") typically vest over a four-year period. The following table summarizes the activity for RSUs for the year ended December 31, 2022:</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4080" w:type="dxa"/>
            <w:vAlign w:val="bottom"/>
            <w:tcBorders>
              <w:bottom w:val="single" w:sz="8" w:color="auto"/>
            </w:tcBorders>
            <w:gridSpan w:val="4"/>
          </w:tcPr>
          <w:p>
            <w:pPr>
              <w:jc w:val="right"/>
              <w:ind w:right="964"/>
              <w:spacing w:after="0"/>
              <w:rPr>
                <w:sz w:val="20"/>
                <w:szCs w:val="20"/>
                <w:color w:val="auto"/>
              </w:rPr>
            </w:pPr>
            <w:r>
              <w:rPr>
                <w:rFonts w:ascii="Times New Roman" w:cs="Times New Roman" w:eastAsia="Times New Roman" w:hAnsi="Times New Roman"/>
                <w:sz w:val="15"/>
                <w:szCs w:val="15"/>
                <w:b w:val="1"/>
                <w:bCs w:val="1"/>
                <w:color w:val="auto"/>
              </w:rPr>
              <w:t>Year ended December 31, 2022</w:t>
            </w:r>
          </w:p>
        </w:tc>
        <w:tc>
          <w:tcPr>
            <w:tcW w:w="100" w:type="dxa"/>
            <w:vAlign w:val="bottom"/>
          </w:tcPr>
          <w:p>
            <w:pPr>
              <w:spacing w:after="0"/>
              <w:rPr>
                <w:sz w:val="17"/>
                <w:szCs w:val="17"/>
                <w:color w:val="auto"/>
              </w:rPr>
            </w:pPr>
          </w:p>
        </w:tc>
      </w:tr>
      <w:tr>
        <w:trPr>
          <w:trHeight w:val="148"/>
        </w:trPr>
        <w:tc>
          <w:tcPr>
            <w:tcW w:w="6480" w:type="dxa"/>
            <w:vAlign w:val="bottom"/>
          </w:tcPr>
          <w:p>
            <w:pPr>
              <w:spacing w:after="0"/>
              <w:rPr>
                <w:sz w:val="12"/>
                <w:szCs w:val="12"/>
                <w:color w:val="auto"/>
              </w:rPr>
            </w:pPr>
          </w:p>
        </w:tc>
        <w:tc>
          <w:tcPr>
            <w:tcW w:w="212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Pr>
          <w:p>
            <w:pPr>
              <w:spacing w:after="0"/>
              <w:rPr>
                <w:sz w:val="12"/>
                <w:szCs w:val="12"/>
                <w:color w:val="auto"/>
              </w:rPr>
            </w:pPr>
          </w:p>
        </w:tc>
        <w:tc>
          <w:tcPr>
            <w:tcW w:w="1740" w:type="dxa"/>
            <w:vAlign w:val="bottom"/>
          </w:tcPr>
          <w:p>
            <w:pPr>
              <w:jc w:val="center"/>
              <w:ind w:right="124"/>
              <w:spacing w:after="0" w:line="148"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2"/>
                <w:szCs w:val="12"/>
                <w:color w:val="auto"/>
              </w:rPr>
            </w:pPr>
          </w:p>
        </w:tc>
      </w:tr>
      <w:tr>
        <w:trPr>
          <w:trHeight w:val="162"/>
        </w:trPr>
        <w:tc>
          <w:tcPr>
            <w:tcW w:w="6480" w:type="dxa"/>
            <w:vAlign w:val="bottom"/>
          </w:tcPr>
          <w:p>
            <w:pPr>
              <w:spacing w:after="0"/>
              <w:rPr>
                <w:sz w:val="14"/>
                <w:szCs w:val="14"/>
                <w:color w:val="auto"/>
              </w:rPr>
            </w:pPr>
          </w:p>
        </w:tc>
        <w:tc>
          <w:tcPr>
            <w:tcW w:w="2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restricted stock</w:t>
            </w:r>
          </w:p>
        </w:tc>
        <w:tc>
          <w:tcPr>
            <w:tcW w:w="220" w:type="dxa"/>
            <w:vAlign w:val="bottom"/>
          </w:tcPr>
          <w:p>
            <w:pPr>
              <w:spacing w:after="0"/>
              <w:rPr>
                <w:sz w:val="14"/>
                <w:szCs w:val="14"/>
                <w:color w:val="auto"/>
              </w:rPr>
            </w:pPr>
          </w:p>
        </w:tc>
        <w:tc>
          <w:tcPr>
            <w:tcW w:w="1740" w:type="dxa"/>
            <w:vAlign w:val="bottom"/>
          </w:tcPr>
          <w:p>
            <w:pPr>
              <w:jc w:val="center"/>
              <w:ind w:right="144"/>
              <w:spacing w:after="0" w:line="162" w:lineRule="exact"/>
              <w:rPr>
                <w:sz w:val="20"/>
                <w:szCs w:val="20"/>
                <w:color w:val="auto"/>
              </w:rPr>
            </w:pPr>
            <w:r>
              <w:rPr>
                <w:rFonts w:ascii="Times New Roman" w:cs="Times New Roman" w:eastAsia="Times New Roman" w:hAnsi="Times New Roman"/>
                <w:sz w:val="15"/>
                <w:szCs w:val="15"/>
                <w:b w:val="1"/>
                <w:bCs w:val="1"/>
                <w:color w:val="auto"/>
              </w:rPr>
              <w:t>average grant-date</w:t>
            </w:r>
          </w:p>
        </w:tc>
        <w:tc>
          <w:tcPr>
            <w:tcW w:w="100" w:type="dxa"/>
            <w:vAlign w:val="bottom"/>
          </w:tcPr>
          <w:p>
            <w:pPr>
              <w:spacing w:after="0"/>
              <w:rPr>
                <w:sz w:val="14"/>
                <w:szCs w:val="14"/>
                <w:color w:val="auto"/>
              </w:rPr>
            </w:pPr>
          </w:p>
        </w:tc>
      </w:tr>
      <w:tr>
        <w:trPr>
          <w:trHeight w:val="197"/>
        </w:trPr>
        <w:tc>
          <w:tcPr>
            <w:tcW w:w="6480" w:type="dxa"/>
            <w:vAlign w:val="bottom"/>
          </w:tcPr>
          <w:p>
            <w:pPr>
              <w:spacing w:after="0"/>
              <w:rPr>
                <w:sz w:val="17"/>
                <w:szCs w:val="17"/>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units</w:t>
            </w:r>
          </w:p>
        </w:tc>
        <w:tc>
          <w:tcPr>
            <w:tcW w:w="220" w:type="dxa"/>
            <w:vAlign w:val="bottom"/>
          </w:tcPr>
          <w:p>
            <w:pPr>
              <w:spacing w:after="0"/>
              <w:rPr>
                <w:sz w:val="17"/>
                <w:szCs w:val="17"/>
                <w:color w:val="auto"/>
              </w:rPr>
            </w:pPr>
          </w:p>
        </w:tc>
        <w:tc>
          <w:tcPr>
            <w:tcW w:w="17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7"/>
                <w:szCs w:val="17"/>
                <w:color w:val="auto"/>
              </w:rPr>
            </w:pPr>
          </w:p>
        </w:tc>
      </w:tr>
      <w:tr>
        <w:trPr>
          <w:trHeight w:val="18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at beginning of year</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2,330,094</w:t>
            </w: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00" w:type="dxa"/>
            <w:vAlign w:val="bottom"/>
            <w:shd w:val="clear" w:color="auto" w:fill="CFF0FC"/>
          </w:tcPr>
          <w:p>
            <w:pPr>
              <w:spacing w:after="0"/>
              <w:rPr>
                <w:sz w:val="15"/>
                <w:szCs w:val="15"/>
                <w:color w:val="auto"/>
              </w:rPr>
            </w:pP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11,699,481</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tcPr>
          <w:p>
            <w:pPr>
              <w:spacing w:after="0"/>
              <w:rPr>
                <w:sz w:val="16"/>
                <w:szCs w:val="16"/>
                <w:color w:val="auto"/>
              </w:rPr>
            </w:pPr>
          </w:p>
        </w:tc>
      </w:tr>
      <w:tr>
        <w:trPr>
          <w:trHeight w:val="18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Vested</w:t>
            </w:r>
          </w:p>
        </w:tc>
        <w:tc>
          <w:tcPr>
            <w:tcW w:w="2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(3,253,792 )</w:t>
            </w: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00" w:type="dxa"/>
            <w:vAlign w:val="bottom"/>
            <w:shd w:val="clear" w:color="auto" w:fill="CFF0FC"/>
          </w:tcPr>
          <w:p>
            <w:pPr>
              <w:spacing w:after="0"/>
              <w:rPr>
                <w:sz w:val="16"/>
                <w:szCs w:val="16"/>
                <w:color w:val="auto"/>
              </w:rPr>
            </w:pPr>
          </w:p>
        </w:tc>
      </w:tr>
      <w:tr>
        <w:trPr>
          <w:trHeight w:val="189"/>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Forfeited</w:t>
            </w:r>
          </w:p>
        </w:tc>
        <w:tc>
          <w:tcPr>
            <w:tcW w:w="2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(1,648,732 )</w:t>
            </w: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00" w:type="dxa"/>
            <w:vAlign w:val="bottom"/>
          </w:tcPr>
          <w:p>
            <w:pPr>
              <w:spacing w:after="0"/>
              <w:rPr>
                <w:sz w:val="16"/>
                <w:szCs w:val="16"/>
                <w:color w:val="auto"/>
              </w:rPr>
            </w:pPr>
          </w:p>
        </w:tc>
      </w:tr>
      <w:tr>
        <w:trPr>
          <w:trHeight w:val="18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Nonvested at end of year</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9,127,051</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$12.6 million of total unrecognized compensation cost related to non-vested RSUs that are expected to be recognized over a period of up to 5.2 years.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share-based compensation expense related to stock options and restricted stock units included in the respective components of operating expenses in the consolidated statement of operations:</w:t>
      </w:r>
    </w:p>
    <w:p>
      <w:pPr>
        <w:spacing w:after="0" w:line="10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7"/>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4"/>
                <w:szCs w:val="14"/>
                <w:color w:val="auto"/>
              </w:rPr>
            </w:pPr>
          </w:p>
        </w:tc>
      </w:tr>
      <w:tr>
        <w:trPr>
          <w:trHeight w:val="23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20"/>
                <w:szCs w:val="20"/>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r>
      <w:tr>
        <w:trPr>
          <w:trHeight w:val="247"/>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FF0FC"/>
          </w:tcPr>
          <w:p>
            <w:pPr>
              <w:spacing w:after="0"/>
              <w:rPr>
                <w:sz w:val="21"/>
                <w:szCs w:val="21"/>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20"/>
                <w:szCs w:val="20"/>
                <w:color w:val="auto"/>
              </w:rPr>
            </w:pPr>
          </w:p>
        </w:tc>
      </w:tr>
      <w:tr>
        <w:trPr>
          <w:trHeight w:val="27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27,405</w:t>
            </w:r>
          </w:p>
        </w:tc>
        <w:tc>
          <w:tcPr>
            <w:tcW w:w="2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of the Business Combination, vested and unvested stock options of Old Talkspace were converted into Talkspace stock options using an exchange ratio of 1.134140. As a result of this modification, the Company recognized $15.2 million in additional share-based compensation expense during the year ended December 31, 2021. Additionally, the Company recognized $3.8 million in share-based compensation expense as a result of the modification of Mr. and Ms. Frank's equity awards during the year ended December 31, 2021, in connection with their departure from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years ended December 31, 2022, 2021 and 2020:</w:t>
      </w:r>
    </w:p>
    <w:p>
      <w:pPr>
        <w:spacing w:after="0" w:line="115"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6"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(62,742</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156,885,256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86,775,948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13,359,350</w:t>
            </w: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the following were excluded from the calculation of diluted loss per share since each would have had an anti-dilutive effect given the Company’s net loss: 17,526,326 stock options, 9,127,051 restricted stock units, 12,780,000 Private Placement Warrants and 21,350,000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following were excluded from the calculation of diluted loss per share since each would have had an anti-dilutive effect given the Company’s net loss: 19,494,861 stock options, 2,330,094 restricted stock units, 12,780,000 Private Placement Warrants and 21,350,000 Public Warrants to purchase the Company's common stock.</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following were excluded from the calculation of diluted loss per share since each would have had an anti-dilutive effect given the Company’s net loss: 83,395,815 shares of convertible preferred stock, 18,097,815 stock options, 60,000 warrants to the Company’s common stock and 50,881 warrants to the Company’s series D convertible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w:t>
      </w:r>
    </w:p>
    <w:p>
      <w:pPr>
        <w:spacing w:after="0" w:line="1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and various states and foreign jurisdictions. The Company assessed its uncertain tax positions and determined that it has no uncertain tax positions at December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5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(79,418</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440" w:type="dxa"/>
            <w:vAlign w:val="bottom"/>
          </w:tcPr>
          <w:p>
            <w:pPr>
              <w:spacing w:after="0"/>
              <w:rPr>
                <w:sz w:val="20"/>
                <w:szCs w:val="20"/>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tcPr>
          <w:p>
            <w:pPr>
              <w:spacing w:after="0"/>
              <w:rPr>
                <w:sz w:val="20"/>
                <w:szCs w:val="20"/>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21 %</w:t>
            </w:r>
          </w:p>
        </w:tc>
        <w:tc>
          <w:tcPr>
            <w:tcW w:w="4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Theoretical tax benefit</w:t>
            </w: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effective tax rate due to:</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440" w:type="dxa"/>
            <w:vAlign w:val="bottom"/>
          </w:tcPr>
          <w:p>
            <w:pPr>
              <w:spacing w:after="0"/>
              <w:rPr>
                <w:sz w:val="20"/>
                <w:szCs w:val="20"/>
                <w:color w:val="auto"/>
              </w:rPr>
            </w:pP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(1,288 )</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4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(83 )</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(586 )</w:t>
            </w:r>
          </w:p>
        </w:tc>
        <w:tc>
          <w:tcPr>
            <w:tcW w:w="60" w:type="dxa"/>
            <w:vAlign w:val="bottom"/>
          </w:tcPr>
          <w:p>
            <w:pPr>
              <w:spacing w:after="0"/>
              <w:rPr>
                <w:sz w:val="21"/>
                <w:szCs w:val="2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(26,309 )</w:t>
            </w:r>
          </w:p>
        </w:tc>
        <w:tc>
          <w:tcPr>
            <w:tcW w:w="1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(17,111 )</w:t>
            </w:r>
          </w:p>
        </w:tc>
        <w:tc>
          <w:tcPr>
            <w:tcW w:w="4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(5,208 )</w:t>
            </w:r>
          </w:p>
        </w:tc>
        <w:tc>
          <w:tcPr>
            <w:tcW w:w="60" w:type="dxa"/>
            <w:vAlign w:val="bottom"/>
          </w:tcPr>
          <w:p>
            <w:pPr>
              <w:spacing w:after="0"/>
              <w:rPr>
                <w:sz w:val="21"/>
                <w:szCs w:val="21"/>
                <w:color w:val="auto"/>
              </w:rPr>
            </w:pPr>
          </w:p>
        </w:tc>
      </w:tr>
      <w:tr>
        <w:trPr>
          <w:trHeight w:val="237"/>
        </w:trPr>
        <w:tc>
          <w:tcPr>
            <w:tcW w:w="5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Actual income taxes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(income) before taxes is attributable to the following tax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r>
      <w:tr>
        <w:trPr>
          <w:trHeight w:val="277"/>
        </w:trPr>
        <w:tc>
          <w:tcPr>
            <w:tcW w:w="452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(79,418</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-24765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4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64,644</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49,906</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r>
      <w:tr>
        <w:trPr>
          <w:trHeight w:val="243"/>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Total gross deferred tax assets, net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53,441</w:t>
            </w:r>
          </w:p>
        </w:tc>
        <w:tc>
          <w:tcPr>
            <w:tcW w:w="100" w:type="dxa"/>
            <w:vAlign w:val="bottom"/>
          </w:tcPr>
          <w:p>
            <w:pPr>
              <w:spacing w:after="0"/>
              <w:rPr>
                <w:sz w:val="20"/>
                <w:szCs w:val="20"/>
                <w:color w:val="auto"/>
              </w:rPr>
            </w:pPr>
          </w:p>
        </w:tc>
      </w:tr>
      <w:tr>
        <w:trPr>
          <w:trHeight w:val="241"/>
        </w:trPr>
        <w:tc>
          <w:tcPr>
            <w:tcW w:w="728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Valuation allowance</w:t>
            </w:r>
          </w:p>
        </w:tc>
        <w:tc>
          <w:tcPr>
            <w:tcW w:w="4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2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 (long term):</w:t>
            </w:r>
          </w:p>
        </w:tc>
        <w:tc>
          <w:tcPr>
            <w:tcW w:w="4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Warrants</w:t>
            </w:r>
          </w:p>
        </w:tc>
        <w:tc>
          <w:tcPr>
            <w:tcW w:w="440" w:type="dxa"/>
            <w:vAlign w:val="bottom"/>
          </w:tcPr>
          <w:p>
            <w:pPr>
              <w:spacing w:after="0"/>
              <w:rPr>
                <w:sz w:val="20"/>
                <w:szCs w:val="20"/>
                <w:color w:val="auto"/>
              </w:rPr>
            </w:pPr>
          </w:p>
        </w:tc>
        <w:tc>
          <w:tcPr>
            <w:tcW w:w="1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(9,255 )</w:t>
            </w:r>
          </w:p>
        </w:tc>
      </w:tr>
      <w:tr>
        <w:trPr>
          <w:trHeight w:val="277"/>
        </w:trPr>
        <w:tc>
          <w:tcPr>
            <w:tcW w:w="728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-976630</wp:posOffset>
            </wp:positionV>
            <wp:extent cx="685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Realization of the future tax benefits is dependent on the Company’s ability to generate sufficient taxable income within the carryforward period. A valuation allowance is provided for deferred tax assets when it is “more likely than not” that some portion of the deferred tax asset will not be realized. Because of the Company’s recent history of operating losses, management believes the recognition of the deferred tax assets arising from the above-mentioned future tax benefits is currently not more likely than not to be realized and, accordingly, has provided a full valuation allowance. A valuation allowance has been recorded for the net deferred tax assets at December 31, 2022 and 2021.</w:t>
      </w:r>
    </w:p>
    <w:p>
      <w:pPr>
        <w:spacing w:after="0" w:line="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full valuation allowance on its net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Management considered the Company’s cumulative loss in recent years and forecasted losses in the near term as significant negative evidence. Based upon a review of the four sources of income identified within ASC 740, management determined that the negative evidence outweighed the positive evidence and that a full valuation allowance on the net deferred tax assets will be maintained. Management will continue to assess the realizability of our deferred tax assets going forward and will adjust the valuation allowance as needed. The Company’s valuation allowance increased by $26.3 million during the year ended December 31, 2022 primarily due to increases in its net operating loss carryforwards.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has federal and state net operating loss carryovers (“NOL”) of approximately $255.1 million and $224.3 million, respectively, which are available to reduce future taxable income. The NOL carryforwards begin to expire in 2032 and may become subject to annual limitation in the event of certain cumulative changes in the ownership interest of significant stockholders over a three-year period in excess of 50%, as defined under I.R.C. Section 382. This could limit the amount of tax attributes that can be utilized annually to offset future taxable income or future tax liabilities. The federal losses generated from 2018 onward do not expire.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and state and Israeli income taxes with varying statutes of limitations. The Company is not currently under examination by any income tax authority, nor has it been notified that an examination is contemplated. The Company is no longer subject to U.S. federal, state or local income tax examinations by the tax authorities for years before 2019. The Israel subsidiary tax assessments filed by the Company through the year 2017 are considered closed.</w:t>
      </w:r>
    </w:p>
    <w:p>
      <w:pPr>
        <w:spacing w:after="0" w:line="284" w:lineRule="exact"/>
        <w:rPr>
          <w:sz w:val="20"/>
          <w:szCs w:val="20"/>
          <w:color w:val="auto"/>
        </w:rPr>
      </w:pPr>
    </w:p>
    <w:p>
      <w:pPr>
        <w:ind w:right="5320"/>
        <w:spacing w:after="0" w:line="504" w:lineRule="auto"/>
        <w:rPr>
          <w:sz w:val="20"/>
          <w:szCs w:val="20"/>
          <w:color w:val="auto"/>
        </w:rPr>
      </w:pPr>
      <w:r>
        <w:rPr>
          <w:rFonts w:ascii="Times New Roman" w:cs="Times New Roman" w:eastAsia="Times New Roman" w:hAnsi="Times New Roman"/>
          <w:sz w:val="17"/>
          <w:szCs w:val="17"/>
          <w:b w:val="1"/>
          <w:bCs w:val="1"/>
          <w:color w:val="auto"/>
        </w:rPr>
        <w:t xml:space="preserve">NOTE 14. ACCRUED EXPENSES AND OTHER CURRENT LIABILITIES </w:t>
      </w:r>
      <w:r>
        <w:rPr>
          <w:rFonts w:ascii="Times New Roman" w:cs="Times New Roman" w:eastAsia="Times New Roman" w:hAnsi="Times New Roman"/>
          <w:sz w:val="17"/>
          <w:szCs w:val="17"/>
          <w:color w:val="auto"/>
        </w:rPr>
        <w:t>Accrued expenses and other current liabilities are comprised of the following:</w:t>
      </w: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4"/>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0" w:type="dxa"/>
            <w:vAlign w:val="bottom"/>
          </w:tcPr>
          <w:p>
            <w:pPr>
              <w:spacing w:after="0"/>
              <w:rPr>
                <w:sz w:val="16"/>
                <w:szCs w:val="16"/>
                <w:color w:val="auto"/>
              </w:rPr>
            </w:pPr>
          </w:p>
        </w:tc>
      </w:tr>
      <w:tr>
        <w:trPr>
          <w:trHeight w:val="16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Litigation costs</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compensation</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User acquisition</w:t>
            </w: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0"/>
                <w:szCs w:val="20"/>
                <w:color w:val="auto"/>
              </w:rPr>
            </w:pP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-187960</wp:posOffset>
            </wp:positionV>
            <wp:extent cx="7747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VARIABLE INTEREST ENTITIES ("VIEs")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second quarter of 2022, the Company completed a transition with respect to its relationships with healthcare providers, transitioning to a structure whereby Talkspace LLC has entered into various agreements with a Texas professional association entity (Talkspace Provider Network, PA or “TPN”), which in turn contracts with affiliated professional entities ("PC entities"), and physicians, therapists, and other licensed professionals for clinical and professional services provided to the Company's members. Talkspace LLC is party to various Management Services Agreements (“MSAs”) with TPN as well the PC entities as part of this transition. The Company believes the transition to a structure where it operates under various MSAs with professional associations and professional corporations authorized by state law to contract with affiliated professionals to delivery teletherapy services to its members, helps ensure the Company is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or the PC entities, where applicable.</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Manager and should be repaid as per the terms of the management agreement. No such advances have been made by the Manager to TPN or the PC entities for years ended December 31, 2022 and 2021.</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holds a variable interest in TPN and the PC entities. The Company evaluates whether an entity in which it has a variable interest is considered a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direct the activities of the entity that most significantly impact the entity's economic performance through voting rights and a right to receive the expected residual returns of the entity or an obligation to absorb the expected losses of the entity).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provisions of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TPN and the PC entities are VIEs. The Company also determined that it is able to direct the activities of TPN and the PC entities that most significantly impact their economic performance and it funds and absorbs all losses of these VIEs resulting in the Company being the primary beneficiary of these entities. Accordingly, the Company consolidates these VIEs.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assets and liabilities of the VIEs as of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0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0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02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803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11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report, an evaluation was carried out by certain members of Company management, with the participation of the Chief Executive Officer and our Chief Financial Officer of the effectiveness of the Company’s disclosure controls and procedures (as defined in Securities and Exchange Commission’s (“SEC”) Rules 13a-15(e) and 15d-15(e) under the Securities Exchange Act of 1934, as amended (“Exchange Act”)), as of December 31, 2022. Disclosure controls and procedures are designed to ensure that information required to be disclosed in reports filed or submitted under the Exchange Act is recorded, processed, summarized, and reported within the time periods specified in the SEC’s rules and forms, and that such information is accumulated and communicated to management, including the Chief Executive Officer and the Chief Financial Officer, to allow timely decisions regarding required disclosures.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management has made significant progress in the design and implementation of IT and business process controls, management concluded that the Company’s disclosure controls and procedures were not effective as of December 31, 2022, due to the material weakness in internal control over financial reporting described below. Notwithstanding the results of this evaluation, management believes that the consolidated financial statements in this Annual Report on Form 10-K present, in all material aspects, the company’s financial condition as reported, in conformity with U.S. Generally Accepted Accounting Principles (“US GAAP”).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our transactions and the dispositions of our assets; (2) provide reasonable assurance that our transactions are recorded as necessary to permit preparation of financial statements in accordance with generally accepted accounting principles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our consolidated financial statements.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Under the supervision of and with the participation of our management, including our Chief Executive Officer and Chief Financial Officer, we assessed the effectiveness of our internal control over financial reporting as of December 31, 2022, using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material weakness is a deficiency, or a combinations of deficiencies, within the meaning of Public Company Accounting Oversight Board (“PCAOB”) Clarified Audit Standard No. 2201: </w:t>
      </w:r>
      <w:r>
        <w:rPr>
          <w:rFonts w:ascii="Times New Roman" w:cs="Times New Roman" w:eastAsia="Times New Roman" w:hAnsi="Times New Roman"/>
          <w:sz w:val="18"/>
          <w:szCs w:val="18"/>
          <w:i w:val="1"/>
          <w:iCs w:val="1"/>
          <w:color w:val="auto"/>
        </w:rPr>
        <w:t>An audit of internal control over financial reporting that is integrated with an audit of financial statements</w:t>
      </w:r>
      <w:r>
        <w:rPr>
          <w:rFonts w:ascii="Times New Roman" w:cs="Times New Roman" w:eastAsia="Times New Roman" w:hAnsi="Times New Roman"/>
          <w:sz w:val="18"/>
          <w:szCs w:val="18"/>
          <w:color w:val="auto"/>
        </w:rPr>
        <w:t>, such that there is a reasonable possibility that a material misstatement of our annual or interim financial statements will not be prevented or detected on a timely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management has identified the following material weaknesses in internal controls:</w:t>
      </w:r>
    </w:p>
    <w:p>
      <w:pPr>
        <w:spacing w:after="0" w:line="117" w:lineRule="exact"/>
        <w:rPr>
          <w:sz w:val="20"/>
          <w:szCs w:val="20"/>
          <w:color w:val="auto"/>
        </w:rPr>
      </w:pPr>
    </w:p>
    <w:p>
      <w:pPr>
        <w:jc w:val="both"/>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was able to complete the design and establish effective information technology general controls (ITGCs) for the majority of tested ITGCs; however, some ineffective ITGC controls existed at December 31, 2022. As a result, business process controls (automated and IT-dependent manual controls) that are dependent on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97"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ineffective ITGCs, or that use data produced from systems impacted by the ineffective ITGCs were deemed ineffective at December 31 2022; and</w:t>
      </w:r>
    </w:p>
    <w:p>
      <w:pPr>
        <w:spacing w:after="0" w:line="54"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did not have an adequate process in place to monitor and provide oversight over the completion of its testing and assessment of the design and operating effectiveness of internal control over financial reporting in a timely manner.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such, management determined that it did not fully implement components of the COSO framework, including elements of the control environment, information and communication, control activities and monitoring activities components, relating to: (i) providing sufficient and timely management oversight and ownership over the internal control evaluation process; (ii) hiring and training sufficient personnel to timely support the Company’s internal control objectives; (iii) performing timely monitoring and oversight to ascertain whether the components of internal control are present and functioning effectively.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deficiencies aggregated with other business process level control deficiencies could result in material misstatement in the financial statements and therefore constitute a material weakness. Based on this material weakness, the Company’s management concluded that as of December 31, 2022, the Company’s internal control over financial reporting was not effective.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Kost Forer Gabbay &amp; Kasierer, A Member of EY Global, has audited the effectiveness of the Company’s internal control over financial reporting as of December 31, 2022, and has expressed an adverse opinion, which appears in their report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the Material Weakness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committed to the remediation of the material weakness described above, as well as the continued improvement of the Company’s internal control over financial reporting. Management has implemented and continues to implement measures designed to ensure that control deficiencies contributing to the material weakness are remediated, such that these controls are designed, implemented and operating effectively.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management is re-assessing the design of controls and modifying processes designed to improve our internal control over financial reporting and remediate the control deficiencies that led to the material weaknesses, including but not limited to, (a) hiring additional personnel with appropriate technical skillsets, (b) developing an execution plan and resourcing to test controls and providing timely feedback of any deficiencies noted to complete remediation (c) establishing a training program for the entire organization to support ongoing execution of internal controls and adherence to control activities (d) actively monitoring corrective actions and providing status reporting to leadership on the progress.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continue to evaluate and improve the internal controls over financial reporting and take additional measures to address control deficiencies. Management will test and evaluate the implementation of internal controls and revised processes to ascertain whether they are designed and operating effectively to provide reasonable assurance that they will prevent or detect a material error in our financial statements.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once these actions have been completed, it will remediate the material weakness. The material weakness will not be considered remediated, however, until the applicable controls operate for a sufficient period of time and management has concluded, through testing, that controls are operating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implemented a new Enterprise Resource Planning (“ERP”) system. Except for the changes in connection with the implementation of the ERP system discussed above, there have been no other changes in our internal control over financial reporting that occurred during the fiscal year ended December 31, 2022 that have materially affected, or are reasonably likely to materially affect, the Company’s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2039"/>
        <w:spacing w:after="0" w:line="357"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400" w:hanging="374"/>
        <w:spacing w:after="0" w:line="282"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and Supplemental Data filed as part of this Form 10-K. See Item 8 (pages 60 to 79)</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99" w:lineRule="exact"/>
        <w:rPr>
          <w:sz w:val="20"/>
          <w:szCs w:val="20"/>
          <w:color w:val="auto"/>
        </w:rPr>
      </w:pPr>
    </w:p>
    <w:p>
      <w:pPr>
        <w:ind w:left="1400" w:hanging="374"/>
        <w:spacing w:after="0"/>
        <w:tabs>
          <w:tab w:leader="none" w:pos="14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which are filed with this Form 10-K or are incorporated herein by reference are set forth in the Exhibit Index (page 85)</w:t>
      </w:r>
    </w:p>
    <w:p>
      <w:pPr>
        <w:spacing w:after="0" w:line="22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See the Exhibit Index included hereinafter on page 85</w:t>
      </w:r>
    </w:p>
    <w:p>
      <w:pPr>
        <w:spacing w:after="0" w:line="207" w:lineRule="exact"/>
        <w:rPr>
          <w:sz w:val="20"/>
          <w:szCs w:val="20"/>
          <w:color w:val="auto"/>
        </w:rPr>
      </w:pPr>
    </w:p>
    <w:p>
      <w:pPr>
        <w:ind w:left="960" w:right="4620" w:hanging="44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excluded from the annual report to stockholders None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80" w:type="dxa"/>
            <w:vAlign w:val="bottom"/>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8"/>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gridSpan w:val="3"/>
          </w:tcPr>
          <w:p>
            <w:pPr>
              <w:spacing w:after="0" w:line="129" w:lineRule="exact"/>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2.</w:t>
              </w:r>
              <w:r>
                <w:rPr>
                  <w:rFonts w:ascii="Times New Roman" w:cs="Times New Roman" w:eastAsia="Times New Roman" w:hAnsi="Times New Roman"/>
                  <w:sz w:val="13"/>
                  <w:szCs w:val="13"/>
                  <w:u w:val="single" w:color="auto"/>
                  <w:color w:val="0000FF"/>
                </w:rPr>
                <w:t>1</w:t>
              </w:r>
            </w:hyperlink>
            <w:r>
              <w:rPr>
                <w:rFonts w:ascii="Times New Roman" w:cs="Times New Roman" w:eastAsia="Times New Roman" w:hAnsi="Times New Roman"/>
                <w:sz w:val="13"/>
                <w:szCs w:val="13"/>
                <w:color w:val="000000"/>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500" w:type="dxa"/>
            <w:vAlign w:val="bottom"/>
            <w:gridSpan w:val="29"/>
          </w:tcPr>
          <w:p>
            <w:pPr>
              <w:spacing w:after="0" w:line="129" w:lineRule="exact"/>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Agreement and Plan of Merger, dated as of January 12, 2021, by and among Hudson Executive Investment Corp.,</w:t>
              </w:r>
            </w:hyperlink>
          </w:p>
        </w:tc>
        <w:tc>
          <w:tcPr>
            <w:tcW w:w="580" w:type="dxa"/>
            <w:vAlign w:val="bottom"/>
          </w:tcPr>
          <w:p>
            <w:pPr>
              <w:jc w:val="center"/>
              <w:ind w:left="52"/>
              <w:spacing w:after="0" w:line="129" w:lineRule="exact"/>
              <w:rPr>
                <w:sz w:val="20"/>
                <w:szCs w:val="20"/>
                <w:color w:val="auto"/>
              </w:rPr>
            </w:pPr>
            <w:r>
              <w:rPr>
                <w:rFonts w:ascii="Times New Roman" w:cs="Times New Roman" w:eastAsia="Times New Roman" w:hAnsi="Times New Roman"/>
                <w:sz w:val="13"/>
                <w:szCs w:val="13"/>
                <w:color w:val="auto"/>
                <w:w w:val="99"/>
              </w:rPr>
              <w:t>S-4</w:t>
            </w:r>
          </w:p>
        </w:tc>
        <w:tc>
          <w:tcPr>
            <w:tcW w:w="1000" w:type="dxa"/>
            <w:vAlign w:val="bottom"/>
          </w:tcPr>
          <w:p>
            <w:pPr>
              <w:jc w:val="center"/>
              <w:ind w:left="32"/>
              <w:spacing w:after="0" w:line="129" w:lineRule="exact"/>
              <w:rPr>
                <w:sz w:val="20"/>
                <w:szCs w:val="20"/>
                <w:color w:val="auto"/>
              </w:rPr>
            </w:pPr>
            <w:r>
              <w:rPr>
                <w:rFonts w:ascii="Times New Roman" w:cs="Times New Roman" w:eastAsia="Times New Roman" w:hAnsi="Times New Roman"/>
                <w:sz w:val="13"/>
                <w:szCs w:val="13"/>
                <w:color w:val="auto"/>
              </w:rPr>
              <w:t>333-252638</w:t>
            </w: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8"/>
              </w:rPr>
              <w:t>2.1</w:t>
            </w:r>
          </w:p>
        </w:tc>
        <w:tc>
          <w:tcPr>
            <w:tcW w:w="5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rPr>
              <w:t>2/2/21</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80" w:type="dxa"/>
            <w:vAlign w:val="bottom"/>
            <w:tcBorders>
              <w:top w:val="single" w:sz="8" w:color="0000FF"/>
              <w:bottom w:val="single" w:sz="8" w:color="0000FF"/>
            </w:tcBorders>
            <w:vMerge w:val="restart"/>
          </w:tcPr>
          <w:p>
            <w:pPr>
              <w:spacing w:after="0"/>
              <w:rPr>
                <w:rFonts w:ascii="Times New Roman" w:cs="Times New Roman" w:eastAsia="Times New Roman" w:hAnsi="Times New Roman"/>
                <w:sz w:val="13"/>
                <w:szCs w:val="13"/>
                <w:color w:val="0000FF"/>
                <w:w w:val="98"/>
              </w:rPr>
            </w:pPr>
            <w:hyperlink r:id="rId289">
              <w:r>
                <w:rPr>
                  <w:rFonts w:ascii="Times New Roman" w:cs="Times New Roman" w:eastAsia="Times New Roman" w:hAnsi="Times New Roman"/>
                  <w:sz w:val="13"/>
                  <w:szCs w:val="13"/>
                  <w:color w:val="0000FF"/>
                  <w:w w:val="98"/>
                </w:rPr>
                <w:t>3.</w:t>
              </w:r>
              <w:r>
                <w:rPr>
                  <w:rFonts w:ascii="Times New Roman" w:cs="Times New Roman" w:eastAsia="Times New Roman" w:hAnsi="Times New Roman"/>
                  <w:sz w:val="13"/>
                  <w:szCs w:val="13"/>
                  <w:u w:val="single" w:color="auto"/>
                  <w:color w:val="0000FF"/>
                  <w:w w:val="98"/>
                </w:rPr>
                <w:t>1</w:t>
              </w:r>
            </w:hyperlink>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6060" w:type="dxa"/>
            <w:vAlign w:val="bottom"/>
            <w:tcBorders>
              <w:top w:val="single" w:sz="8" w:color="0000FF"/>
              <w:bottom w:val="single" w:sz="8" w:color="0000FF"/>
            </w:tcBorders>
            <w:gridSpan w:val="24"/>
          </w:tcPr>
          <w:p>
            <w:pPr>
              <w:spacing w:after="0" w:line="129" w:lineRule="exact"/>
              <w:rPr>
                <w:rFonts w:ascii="Times New Roman" w:cs="Times New Roman" w:eastAsia="Times New Roman" w:hAnsi="Times New Roman"/>
                <w:sz w:val="13"/>
                <w:szCs w:val="13"/>
                <w:color w:val="0000FF"/>
              </w:rPr>
            </w:pPr>
            <w:hyperlink r:id="rId288">
              <w:r>
                <w:rPr>
                  <w:rFonts w:ascii="Times New Roman" w:cs="Times New Roman" w:eastAsia="Times New Roman" w:hAnsi="Times New Roman"/>
                  <w:sz w:val="13"/>
                  <w:szCs w:val="13"/>
                  <w:color w:val="0000FF"/>
                </w:rPr>
                <w:t>Tailwind Merger Sub I, Inc., Tailwind Merger Sub II, LLC, and Groop Internet Platform, Inc. (d/b/a Talkspace).</w:t>
              </w:r>
            </w:hyperlink>
          </w:p>
        </w:tc>
        <w:tc>
          <w:tcPr>
            <w:tcW w:w="120" w:type="dxa"/>
            <w:vAlign w:val="bottom"/>
            <w:tcBorders>
              <w:top w:val="single" w:sz="8" w:color="0000FF"/>
            </w:tcBorders>
            <w:gridSpan w:val="2"/>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center"/>
              <w:ind w:left="52"/>
              <w:spacing w:after="0"/>
              <w:rPr>
                <w:sz w:val="20"/>
                <w:szCs w:val="20"/>
                <w:color w:val="auto"/>
              </w:rPr>
            </w:pPr>
            <w:r>
              <w:rPr>
                <w:rFonts w:ascii="Times New Roman" w:cs="Times New Roman" w:eastAsia="Times New Roman" w:hAnsi="Times New Roman"/>
                <w:sz w:val="13"/>
                <w:szCs w:val="13"/>
                <w:color w:val="auto"/>
              </w:rPr>
              <w:t>8-K/A</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0000EE"/>
            </w:tcBorders>
            <w:vMerge w:val="continue"/>
          </w:tcPr>
          <w:p>
            <w:pPr>
              <w:spacing w:after="0"/>
              <w:rPr>
                <w:sz w:val="12"/>
                <w:szCs w:val="12"/>
                <w:color w:val="auto"/>
              </w:rPr>
            </w:pPr>
          </w:p>
        </w:tc>
        <w:tc>
          <w:tcPr>
            <w:tcW w:w="180" w:type="dxa"/>
            <w:vAlign w:val="bottom"/>
            <w:tcBorders>
              <w:bottom w:val="single" w:sz="8" w:color="0000FF"/>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tcBorders>
              <w:bottom w:val="single" w:sz="8" w:color="0000FF"/>
            </w:tcBorders>
            <w:gridSpan w:val="14"/>
          </w:tcPr>
          <w:p>
            <w:pPr>
              <w:spacing w:after="0" w:line="142" w:lineRule="exact"/>
              <w:rPr>
                <w:rFonts w:ascii="Times New Roman" w:cs="Times New Roman" w:eastAsia="Times New Roman" w:hAnsi="Times New Roman"/>
                <w:sz w:val="13"/>
                <w:szCs w:val="13"/>
                <w:color w:val="0000FF"/>
              </w:rPr>
            </w:pPr>
            <w:hyperlink r:id="rId289">
              <w:r>
                <w:rPr>
                  <w:rFonts w:ascii="Times New Roman" w:cs="Times New Roman" w:eastAsia="Times New Roman" w:hAnsi="Times New Roman"/>
                  <w:sz w:val="13"/>
                  <w:szCs w:val="13"/>
                  <w:color w:val="0000FF"/>
                </w:rPr>
                <w:t>Second Amended and Restated Certificate of Incorporation of Talkspace, Inc.</w:t>
              </w:r>
            </w:hyperlink>
          </w:p>
        </w:tc>
        <w:tc>
          <w:tcPr>
            <w:tcW w:w="2300" w:type="dxa"/>
            <w:vAlign w:val="bottom"/>
            <w:gridSpan w:val="15"/>
          </w:tcPr>
          <w:p>
            <w:pPr>
              <w:spacing w:after="0"/>
              <w:rPr>
                <w:sz w:val="12"/>
                <w:szCs w:val="12"/>
                <w:color w:val="auto"/>
              </w:rPr>
            </w:pPr>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0000EE"/>
            </w:tcBorders>
          </w:tcPr>
          <w:p>
            <w:pPr>
              <w:spacing w:after="0"/>
              <w:rPr>
                <w:sz w:val="12"/>
                <w:szCs w:val="12"/>
                <w:color w:val="auto"/>
              </w:rPr>
            </w:pPr>
          </w:p>
        </w:tc>
        <w:tc>
          <w:tcPr>
            <w:tcW w:w="180" w:type="dxa"/>
            <w:vAlign w:val="bottom"/>
            <w:tcBorders>
              <w:bottom w:val="single" w:sz="8" w:color="0000FF"/>
            </w:tcBorders>
          </w:tcPr>
          <w:p>
            <w:pPr>
              <w:spacing w:after="0" w:line="142" w:lineRule="exact"/>
              <w:rPr>
                <w:rFonts w:ascii="Times New Roman" w:cs="Times New Roman" w:eastAsia="Times New Roman" w:hAnsi="Times New Roman"/>
                <w:sz w:val="13"/>
                <w:szCs w:val="13"/>
                <w:color w:val="0000FF"/>
                <w:w w:val="98"/>
              </w:rPr>
            </w:pPr>
            <w:hyperlink r:id="rId290">
              <w:r>
                <w:rPr>
                  <w:rFonts w:ascii="Times New Roman" w:cs="Times New Roman" w:eastAsia="Times New Roman" w:hAnsi="Times New Roman"/>
                  <w:sz w:val="13"/>
                  <w:szCs w:val="13"/>
                  <w:color w:val="0000FF"/>
                  <w:w w:val="98"/>
                </w:rPr>
                <w:t>3.</w:t>
              </w:r>
              <w:r>
                <w:rPr>
                  <w:rFonts w:ascii="Times New Roman" w:cs="Times New Roman" w:eastAsia="Times New Roman" w:hAnsi="Times New Roman"/>
                  <w:sz w:val="13"/>
                  <w:szCs w:val="13"/>
                  <w:u w:val="single" w:color="auto"/>
                  <w:color w:val="0000FF"/>
                  <w:w w:val="98"/>
                </w:rPr>
                <w:t>2</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bottom w:val="single" w:sz="8" w:color="0000FF"/>
            </w:tcBorders>
            <w:gridSpan w:val="3"/>
          </w:tcPr>
          <w:p>
            <w:pPr>
              <w:spacing w:after="0" w:line="142" w:lineRule="exact"/>
              <w:rPr>
                <w:rFonts w:ascii="Times New Roman" w:cs="Times New Roman" w:eastAsia="Times New Roman" w:hAnsi="Times New Roman"/>
                <w:sz w:val="13"/>
                <w:szCs w:val="13"/>
                <w:color w:val="0000FF"/>
              </w:rPr>
            </w:pPr>
            <w:hyperlink r:id="rId290">
              <w:r>
                <w:rPr>
                  <w:rFonts w:ascii="Times New Roman" w:cs="Times New Roman" w:eastAsia="Times New Roman" w:hAnsi="Times New Roman"/>
                  <w:sz w:val="13"/>
                  <w:szCs w:val="13"/>
                  <w:color w:val="0000FF"/>
                </w:rPr>
                <w:t>Bylaws of Talkspace, Inc.</w:t>
              </w:r>
            </w:hyperlink>
          </w:p>
        </w:tc>
        <w:tc>
          <w:tcPr>
            <w:tcW w:w="5100" w:type="dxa"/>
            <w:vAlign w:val="bottom"/>
            <w:gridSpan w:val="26"/>
          </w:tcPr>
          <w:p>
            <w:pPr>
              <w:spacing w:after="0"/>
              <w:rPr>
                <w:sz w:val="12"/>
                <w:szCs w:val="12"/>
                <w:color w:val="auto"/>
              </w:rPr>
            </w:pPr>
          </w:p>
        </w:tc>
        <w:tc>
          <w:tcPr>
            <w:tcW w:w="580" w:type="dxa"/>
            <w:vAlign w:val="bottom"/>
          </w:tcPr>
          <w:p>
            <w:pPr>
              <w:jc w:val="center"/>
              <w:ind w:left="52"/>
              <w:spacing w:after="0" w:line="142" w:lineRule="exact"/>
              <w:rPr>
                <w:sz w:val="20"/>
                <w:szCs w:val="20"/>
                <w:color w:val="auto"/>
              </w:rPr>
            </w:pPr>
            <w:r>
              <w:rPr>
                <w:rFonts w:ascii="Times New Roman" w:cs="Times New Roman" w:eastAsia="Times New Roman" w:hAnsi="Times New Roman"/>
                <w:sz w:val="13"/>
                <w:szCs w:val="13"/>
                <w:color w:val="auto"/>
              </w:rPr>
              <w:t>8-K/A</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001-39314</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3.2</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Borders>
              <w:bottom w:val="single" w:sz="8" w:color="0000FF"/>
            </w:tcBorders>
          </w:tcPr>
          <w:p>
            <w:pPr>
              <w:spacing w:after="0" w:line="142" w:lineRule="exact"/>
              <w:rPr>
                <w:rFonts w:ascii="Times New Roman" w:cs="Times New Roman" w:eastAsia="Times New Roman" w:hAnsi="Times New Roman"/>
                <w:sz w:val="13"/>
                <w:szCs w:val="13"/>
                <w:color w:val="0000FF"/>
                <w:w w:val="98"/>
              </w:rPr>
            </w:pPr>
            <w:hyperlink r:id="rId291">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1</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120" w:type="dxa"/>
            <w:vAlign w:val="bottom"/>
            <w:tcBorders>
              <w:bottom w:val="single" w:sz="8" w:color="0000FF"/>
            </w:tcBorders>
            <w:gridSpan w:val="25"/>
          </w:tcPr>
          <w:p>
            <w:pPr>
              <w:spacing w:after="0" w:line="142" w:lineRule="exact"/>
              <w:rPr>
                <w:rFonts w:ascii="Times New Roman" w:cs="Times New Roman" w:eastAsia="Times New Roman" w:hAnsi="Times New Roman"/>
                <w:sz w:val="13"/>
                <w:szCs w:val="13"/>
                <w:color w:val="0000FF"/>
              </w:rPr>
            </w:pPr>
            <w:hyperlink r:id="rId291">
              <w:r>
                <w:rPr>
                  <w:rFonts w:ascii="Times New Roman" w:cs="Times New Roman" w:eastAsia="Times New Roman" w:hAnsi="Times New Roman"/>
                  <w:sz w:val="13"/>
                  <w:szCs w:val="13"/>
                  <w:color w:val="0000FF"/>
                </w:rPr>
                <w:t>Warrant Agreement, dated as of June 8, 2020, by and between Continental Stock Transfer &amp; Trust Company and</w:t>
              </w:r>
            </w:hyperlink>
          </w:p>
        </w:tc>
        <w:tc>
          <w:tcPr>
            <w:tcW w:w="380" w:type="dxa"/>
            <w:vAlign w:val="bottom"/>
            <w:gridSpan w:val="4"/>
          </w:tcPr>
          <w:p>
            <w:pPr>
              <w:spacing w:after="0"/>
              <w:rPr>
                <w:sz w:val="12"/>
                <w:szCs w:val="12"/>
                <w:color w:val="auto"/>
              </w:rPr>
            </w:pPr>
          </w:p>
        </w:tc>
        <w:tc>
          <w:tcPr>
            <w:tcW w:w="580" w:type="dxa"/>
            <w:vAlign w:val="bottom"/>
          </w:tcPr>
          <w:p>
            <w:pPr>
              <w:jc w:val="center"/>
              <w:ind w:left="32"/>
              <w:spacing w:after="0" w:line="142" w:lineRule="exact"/>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3"/>
                <w:szCs w:val="13"/>
                <w:color w:val="auto"/>
              </w:rPr>
              <w:t>001-39314</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4.1</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6/11/20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80" w:type="dxa"/>
            <w:vAlign w:val="bottom"/>
            <w:vMerge w:val="restart"/>
          </w:tcPr>
          <w:p>
            <w:pPr>
              <w:spacing w:after="0"/>
              <w:rPr>
                <w:rFonts w:ascii="Times New Roman" w:cs="Times New Roman" w:eastAsia="Times New Roman" w:hAnsi="Times New Roman"/>
                <w:sz w:val="13"/>
                <w:szCs w:val="13"/>
                <w:color w:val="0000FF"/>
                <w:w w:val="98"/>
              </w:rPr>
            </w:pPr>
            <w:hyperlink r:id="rId292">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2</w:t>
              </w:r>
            </w:hyperlink>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00" w:type="dxa"/>
            <w:vAlign w:val="bottom"/>
            <w:tcBorders>
              <w:bottom w:val="single" w:sz="8" w:color="0000EE"/>
            </w:tcBorders>
            <w:gridSpan w:val="6"/>
          </w:tcPr>
          <w:p>
            <w:pPr>
              <w:spacing w:after="0" w:line="129" w:lineRule="exact"/>
              <w:rPr>
                <w:rFonts w:ascii="Times New Roman" w:cs="Times New Roman" w:eastAsia="Times New Roman" w:hAnsi="Times New Roman"/>
                <w:sz w:val="13"/>
                <w:szCs w:val="13"/>
                <w:color w:val="0000FF"/>
              </w:rPr>
            </w:pPr>
            <w:hyperlink r:id="rId291">
              <w:r>
                <w:rPr>
                  <w:rFonts w:ascii="Times New Roman" w:cs="Times New Roman" w:eastAsia="Times New Roman" w:hAnsi="Times New Roman"/>
                  <w:sz w:val="13"/>
                  <w:szCs w:val="13"/>
                  <w:color w:val="0000FF"/>
                </w:rPr>
                <w:t>Hudson Executive Investment Corp.</w:t>
              </w:r>
            </w:hyperlink>
          </w:p>
        </w:tc>
        <w:tc>
          <w:tcPr>
            <w:tcW w:w="4120" w:type="dxa"/>
            <w:vAlign w:val="bottom"/>
            <w:gridSpan w:val="19"/>
          </w:tcPr>
          <w:p>
            <w:pPr>
              <w:spacing w:after="0"/>
              <w:rPr>
                <w:sz w:val="11"/>
                <w:szCs w:val="11"/>
                <w:color w:val="auto"/>
              </w:rPr>
            </w:pPr>
          </w:p>
        </w:tc>
        <w:tc>
          <w:tcPr>
            <w:tcW w:w="14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S-1/A</w:t>
            </w: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3"/>
                <w:szCs w:val="13"/>
                <w:color w:val="auto"/>
              </w:rPr>
              <w:t>333-238583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6/5/20</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2">
              <w:r>
                <w:rPr>
                  <w:rFonts w:ascii="Times New Roman" w:cs="Times New Roman" w:eastAsia="Times New Roman" w:hAnsi="Times New Roman"/>
                  <w:sz w:val="13"/>
                  <w:szCs w:val="13"/>
                  <w:color w:val="0000FF"/>
                </w:rPr>
                <w:t>Specimen Warrant Certificate of the Registrant.</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0000EE"/>
              <w:bottom w:val="single" w:sz="8" w:color="0000EE"/>
            </w:tcBorders>
          </w:tcPr>
          <w:p>
            <w:pPr>
              <w:spacing w:after="0"/>
              <w:rPr>
                <w:sz w:val="12"/>
                <w:szCs w:val="12"/>
                <w:color w:val="auto"/>
              </w:rPr>
            </w:pPr>
          </w:p>
        </w:tc>
        <w:tc>
          <w:tcPr>
            <w:tcW w:w="1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3"/>
                <w:szCs w:val="13"/>
                <w:color w:val="0000FF"/>
                <w:w w:val="98"/>
              </w:rPr>
            </w:pPr>
            <w:hyperlink r:id="rId293">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3</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3"/>
                <w:szCs w:val="13"/>
                <w:color w:val="0000FF"/>
              </w:rPr>
            </w:pPr>
            <w:hyperlink r:id="rId293">
              <w:r>
                <w:rPr>
                  <w:rFonts w:ascii="Times New Roman" w:cs="Times New Roman" w:eastAsia="Times New Roman" w:hAnsi="Times New Roman"/>
                  <w:sz w:val="13"/>
                  <w:szCs w:val="13"/>
                  <w:color w:val="0000FF"/>
                </w:rPr>
                <w:t>Specimen Common Stock Certificate.</w:t>
              </w:r>
            </w:hyperlink>
          </w:p>
        </w:tc>
        <w:tc>
          <w:tcPr>
            <w:tcW w:w="500" w:type="dxa"/>
            <w:vAlign w:val="bottom"/>
            <w:tcBorders>
              <w:top w:val="single" w:sz="8" w:color="0000FF"/>
            </w:tcBorders>
          </w:tcPr>
          <w:p>
            <w:pPr>
              <w:spacing w:after="0"/>
              <w:rPr>
                <w:sz w:val="12"/>
                <w:szCs w:val="12"/>
                <w:color w:val="auto"/>
              </w:rPr>
            </w:pPr>
          </w:p>
        </w:tc>
        <w:tc>
          <w:tcPr>
            <w:tcW w:w="3940" w:type="dxa"/>
            <w:vAlign w:val="bottom"/>
            <w:gridSpan w:val="20"/>
          </w:tcPr>
          <w:p>
            <w:pPr>
              <w:spacing w:after="0"/>
              <w:rPr>
                <w:sz w:val="12"/>
                <w:szCs w:val="12"/>
                <w:color w:val="auto"/>
              </w:rPr>
            </w:pPr>
          </w:p>
        </w:tc>
        <w:tc>
          <w:tcPr>
            <w:tcW w:w="580" w:type="dxa"/>
            <w:vAlign w:val="bottom"/>
          </w:tcPr>
          <w:p>
            <w:pPr>
              <w:jc w:val="center"/>
              <w:ind w:left="32"/>
              <w:spacing w:after="0" w:line="142" w:lineRule="exact"/>
              <w:rPr>
                <w:sz w:val="20"/>
                <w:szCs w:val="20"/>
                <w:color w:val="auto"/>
              </w:rPr>
            </w:pPr>
            <w:r>
              <w:rPr>
                <w:rFonts w:ascii="Times New Roman" w:cs="Times New Roman" w:eastAsia="Times New Roman" w:hAnsi="Times New Roman"/>
                <w:sz w:val="13"/>
                <w:szCs w:val="13"/>
                <w:color w:val="auto"/>
              </w:rPr>
              <w:t>S-4/A</w:t>
            </w:r>
          </w:p>
        </w:tc>
        <w:tc>
          <w:tcPr>
            <w:tcW w:w="1000" w:type="dxa"/>
            <w:vAlign w:val="bottom"/>
          </w:tcPr>
          <w:p>
            <w:pPr>
              <w:jc w:val="center"/>
              <w:ind w:left="12"/>
              <w:spacing w:after="0" w:line="142" w:lineRule="exact"/>
              <w:rPr>
                <w:sz w:val="20"/>
                <w:szCs w:val="20"/>
                <w:color w:val="auto"/>
              </w:rPr>
            </w:pPr>
            <w:r>
              <w:rPr>
                <w:rFonts w:ascii="Times New Roman" w:cs="Times New Roman" w:eastAsia="Times New Roman" w:hAnsi="Times New Roman"/>
                <w:sz w:val="13"/>
                <w:szCs w:val="13"/>
                <w:color w:val="auto"/>
              </w:rPr>
              <w:t>333-252638</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4.5</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5/20/21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line="142" w:lineRule="exact"/>
              <w:rPr>
                <w:rFonts w:ascii="Times New Roman" w:cs="Times New Roman" w:eastAsia="Times New Roman" w:hAnsi="Times New Roman"/>
                <w:sz w:val="13"/>
                <w:szCs w:val="13"/>
                <w:color w:val="0000FF"/>
                <w:w w:val="98"/>
              </w:rPr>
            </w:pPr>
            <w:hyperlink r:id="rId294">
              <w:r>
                <w:rPr>
                  <w:rFonts w:ascii="Times New Roman" w:cs="Times New Roman" w:eastAsia="Times New Roman" w:hAnsi="Times New Roman"/>
                  <w:sz w:val="13"/>
                  <w:szCs w:val="13"/>
                  <w:color w:val="0000FF"/>
                  <w:w w:val="98"/>
                </w:rPr>
                <w:t>4.</w:t>
              </w:r>
              <w:r>
                <w:rPr>
                  <w:rFonts w:ascii="Times New Roman" w:cs="Times New Roman" w:eastAsia="Times New Roman" w:hAnsi="Times New Roman"/>
                  <w:sz w:val="13"/>
                  <w:szCs w:val="13"/>
                  <w:u w:val="single" w:color="auto"/>
                  <w:color w:val="0000FF"/>
                  <w:w w:val="98"/>
                </w:rPr>
                <w:t>4</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4">
              <w:r>
                <w:rPr>
                  <w:rFonts w:ascii="Times New Roman" w:cs="Times New Roman" w:eastAsia="Times New Roman" w:hAnsi="Times New Roman"/>
                  <w:sz w:val="13"/>
                  <w:szCs w:val="13"/>
                  <w:color w:val="0000FF"/>
                </w:rPr>
                <w:t>Description of Common Stock.</w:t>
              </w:r>
            </w:hyperlink>
          </w:p>
        </w:tc>
        <w:tc>
          <w:tcPr>
            <w:tcW w:w="580" w:type="dxa"/>
            <w:vAlign w:val="bottom"/>
          </w:tcPr>
          <w:p>
            <w:pPr>
              <w:jc w:val="center"/>
              <w:ind w:left="32"/>
              <w:spacing w:after="0" w:line="142" w:lineRule="exact"/>
              <w:rPr>
                <w:sz w:val="20"/>
                <w:szCs w:val="20"/>
                <w:color w:val="auto"/>
              </w:rPr>
            </w:pPr>
            <w:r>
              <w:rPr>
                <w:rFonts w:ascii="Times New Roman" w:cs="Times New Roman" w:eastAsia="Times New Roman" w:hAnsi="Times New Roman"/>
                <w:sz w:val="13"/>
                <w:szCs w:val="13"/>
                <w:color w:val="auto"/>
              </w:rPr>
              <w:t>10-K</w:t>
            </w:r>
          </w:p>
        </w:tc>
        <w:tc>
          <w:tcPr>
            <w:tcW w:w="1000" w:type="dxa"/>
            <w:vAlign w:val="bottom"/>
          </w:tcPr>
          <w:p>
            <w:pPr>
              <w:jc w:val="center"/>
              <w:ind w:left="32"/>
              <w:spacing w:after="0" w:line="142" w:lineRule="exact"/>
              <w:rPr>
                <w:sz w:val="20"/>
                <w:szCs w:val="20"/>
                <w:color w:val="auto"/>
              </w:rPr>
            </w:pPr>
            <w:r>
              <w:rPr>
                <w:rFonts w:ascii="Times New Roman" w:cs="Times New Roman" w:eastAsia="Times New Roman" w:hAnsi="Times New Roman"/>
                <w:sz w:val="13"/>
                <w:szCs w:val="13"/>
                <w:color w:val="auto"/>
              </w:rPr>
              <w:t>001-39314</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w w:val="98"/>
              </w:rPr>
              <w:t>4.4</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52"/>
              <w:spacing w:after="0"/>
              <w:rPr>
                <w:sz w:val="20"/>
                <w:szCs w:val="20"/>
                <w:color w:val="auto"/>
              </w:rPr>
            </w:pPr>
            <w:r>
              <w:rPr>
                <w:rFonts w:ascii="Times New Roman" w:cs="Times New Roman" w:eastAsia="Times New Roman" w:hAnsi="Times New Roman"/>
                <w:sz w:val="13"/>
                <w:szCs w:val="13"/>
                <w:color w:val="auto"/>
                <w:w w:val="99"/>
              </w:rPr>
              <w:t>S-8</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333-259165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99.1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8/30/21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29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5">
              <w:r>
                <w:rPr>
                  <w:rFonts w:ascii="Times New Roman" w:cs="Times New Roman" w:eastAsia="Times New Roman" w:hAnsi="Times New Roman"/>
                  <w:sz w:val="13"/>
                  <w:szCs w:val="13"/>
                  <w:color w:val="0000FF"/>
                </w:rPr>
                <w:t>2021 Incentive Award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52"/>
              <w:spacing w:after="0"/>
              <w:rPr>
                <w:sz w:val="20"/>
                <w:szCs w:val="20"/>
                <w:color w:val="auto"/>
              </w:rPr>
            </w:pPr>
            <w:r>
              <w:rPr>
                <w:rFonts w:ascii="Times New Roman" w:cs="Times New Roman" w:eastAsia="Times New Roman" w:hAnsi="Times New Roman"/>
                <w:sz w:val="13"/>
                <w:szCs w:val="13"/>
                <w:color w:val="auto"/>
                <w:w w:val="99"/>
              </w:rPr>
              <w:t>S-8</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333-259165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99.2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8/30/21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29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6">
              <w:r>
                <w:rPr>
                  <w:rFonts w:ascii="Times New Roman" w:cs="Times New Roman" w:eastAsia="Times New Roman" w:hAnsi="Times New Roman"/>
                  <w:sz w:val="13"/>
                  <w:szCs w:val="13"/>
                  <w:color w:val="0000FF"/>
                </w:rPr>
                <w:t>2021 Employee Stock Purchase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52"/>
              <w:spacing w:after="0"/>
              <w:rPr>
                <w:sz w:val="20"/>
                <w:szCs w:val="20"/>
                <w:color w:val="auto"/>
              </w:rPr>
            </w:pPr>
            <w:r>
              <w:rPr>
                <w:rFonts w:ascii="Times New Roman" w:cs="Times New Roman" w:eastAsia="Times New Roman" w:hAnsi="Times New Roman"/>
                <w:sz w:val="13"/>
                <w:szCs w:val="13"/>
                <w:color w:val="auto"/>
                <w:w w:val="99"/>
              </w:rPr>
              <w:t>S-8</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333-259165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99.3</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8/30/21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29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7">
              <w:r>
                <w:rPr>
                  <w:rFonts w:ascii="Times New Roman" w:cs="Times New Roman" w:eastAsia="Times New Roman" w:hAnsi="Times New Roman"/>
                  <w:sz w:val="13"/>
                  <w:szCs w:val="13"/>
                  <w:color w:val="0000FF"/>
                </w:rPr>
                <w:t>2014 Stock Incentive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29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298">
              <w:r>
                <w:rPr>
                  <w:rFonts w:ascii="Times New Roman" w:cs="Times New Roman" w:eastAsia="Times New Roman" w:hAnsi="Times New Roman"/>
                  <w:sz w:val="13"/>
                  <w:szCs w:val="13"/>
                  <w:color w:val="0000FF"/>
                </w:rPr>
                <w:t>Form of Indemnification Agreement.</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Borders>
              <w:bottom w:val="single" w:sz="8" w:color="0000EE"/>
            </w:tcBorders>
          </w:tcPr>
          <w:p>
            <w:pPr>
              <w:spacing w:after="0"/>
              <w:rPr>
                <w:sz w:val="12"/>
                <w:szCs w:val="12"/>
                <w:color w:val="auto"/>
              </w:rPr>
            </w:pPr>
          </w:p>
        </w:tc>
        <w:tc>
          <w:tcPr>
            <w:tcW w:w="260" w:type="dxa"/>
            <w:vAlign w:val="bottom"/>
            <w:tcBorders>
              <w:bottom w:val="single" w:sz="8" w:color="0000FF"/>
            </w:tcBorders>
            <w:gridSpan w:val="2"/>
          </w:tcPr>
          <w:p>
            <w:pPr>
              <w:spacing w:after="0" w:line="142" w:lineRule="exact"/>
              <w:rPr>
                <w:rFonts w:ascii="Times New Roman" w:cs="Times New Roman" w:eastAsia="Times New Roman" w:hAnsi="Times New Roman"/>
                <w:sz w:val="13"/>
                <w:szCs w:val="13"/>
                <w:color w:val="0000FF"/>
                <w:w w:val="96"/>
              </w:rPr>
            </w:pPr>
            <w:hyperlink r:id="rId299">
              <w:r>
                <w:rPr>
                  <w:rFonts w:ascii="Times New Roman" w:cs="Times New Roman" w:eastAsia="Times New Roman" w:hAnsi="Times New Roman"/>
                  <w:sz w:val="13"/>
                  <w:szCs w:val="13"/>
                  <w:color w:val="0000FF"/>
                  <w:w w:val="96"/>
                </w:rPr>
                <w:t>10.</w:t>
              </w:r>
              <w:r>
                <w:rPr>
                  <w:rFonts w:ascii="Times New Roman" w:cs="Times New Roman" w:eastAsia="Times New Roman" w:hAnsi="Times New Roman"/>
                  <w:sz w:val="13"/>
                  <w:szCs w:val="13"/>
                  <w:u w:val="single" w:color="auto"/>
                  <w:color w:val="0000FF"/>
                  <w:w w:val="96"/>
                </w:rPr>
                <w:t>5</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60" w:type="dxa"/>
            <w:vAlign w:val="bottom"/>
            <w:tcBorders>
              <w:bottom w:val="single" w:sz="8" w:color="0000FF"/>
            </w:tcBorders>
            <w:gridSpan w:val="27"/>
          </w:tcPr>
          <w:p>
            <w:pPr>
              <w:spacing w:after="0" w:line="142" w:lineRule="exact"/>
              <w:rPr>
                <w:rFonts w:ascii="Times New Roman" w:cs="Times New Roman" w:eastAsia="Times New Roman" w:hAnsi="Times New Roman"/>
                <w:sz w:val="13"/>
                <w:szCs w:val="13"/>
                <w:color w:val="0000FF"/>
              </w:rPr>
            </w:pPr>
            <w:hyperlink r:id="rId299">
              <w:r>
                <w:rPr>
                  <w:rFonts w:ascii="Times New Roman" w:cs="Times New Roman" w:eastAsia="Times New Roman" w:hAnsi="Times New Roman"/>
                  <w:sz w:val="13"/>
                  <w:szCs w:val="13"/>
                  <w:color w:val="0000FF"/>
                </w:rPr>
                <w:t>Amended and Restated Registration Rights Agreement, by and among Talkspace, Inc. and the holders party thereto.</w:t>
              </w:r>
            </w:hyperlink>
          </w:p>
        </w:tc>
        <w:tc>
          <w:tcPr>
            <w:tcW w:w="240" w:type="dxa"/>
            <w:vAlign w:val="bottom"/>
            <w:gridSpan w:val="2"/>
          </w:tcPr>
          <w:p>
            <w:pPr>
              <w:spacing w:after="0"/>
              <w:rPr>
                <w:sz w:val="12"/>
                <w:szCs w:val="12"/>
                <w:color w:val="auto"/>
              </w:rPr>
            </w:pPr>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0">
              <w:r>
                <w:rPr>
                  <w:rFonts w:ascii="Times New Roman" w:cs="Times New Roman" w:eastAsia="Times New Roman" w:hAnsi="Times New Roman"/>
                  <w:sz w:val="13"/>
                  <w:szCs w:val="13"/>
                  <w:color w:val="0000FF"/>
                </w:rPr>
                <w:t>Non-Employee Director Compensation Program.</w:t>
              </w:r>
            </w:hyperlink>
          </w:p>
        </w:tc>
        <w:tc>
          <w:tcPr>
            <w:tcW w:w="580" w:type="dxa"/>
            <w:vAlign w:val="bottom"/>
          </w:tcPr>
          <w:p>
            <w:pPr>
              <w:jc w:val="center"/>
              <w:ind w:left="32"/>
              <w:spacing w:after="0" w:line="142" w:lineRule="exact"/>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001-39314</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10.3</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10.7(a)</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7</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1">
              <w:r>
                <w:rPr>
                  <w:rFonts w:ascii="Times New Roman" w:cs="Times New Roman" w:eastAsia="Times New Roman" w:hAnsi="Times New Roman"/>
                  <w:sz w:val="13"/>
                  <w:szCs w:val="13"/>
                  <w:color w:val="0000FF"/>
                </w:rPr>
                <w:t>Form of Stock Option Agreement under the Talkspace, Inc. 2021 Incentive Award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10.7(b)</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8</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2">
              <w:r>
                <w:rPr>
                  <w:rFonts w:ascii="Times New Roman" w:cs="Times New Roman" w:eastAsia="Times New Roman" w:hAnsi="Times New Roman"/>
                  <w:sz w:val="13"/>
                  <w:szCs w:val="13"/>
                  <w:color w:val="0000FF"/>
                </w:rPr>
                <w:t>Form of Restricted Stock Unit Agreement under the Talkspace, Inc. 2021 Incentive Award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6/23/21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9</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3">
              <w:r>
                <w:rPr>
                  <w:rFonts w:ascii="Times New Roman" w:cs="Times New Roman" w:eastAsia="Times New Roman" w:hAnsi="Times New Roman"/>
                  <w:sz w:val="13"/>
                  <w:szCs w:val="13"/>
                  <w:color w:val="0000FF"/>
                </w:rPr>
                <w:t>Executive Severance Plan.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S-4/A</w:t>
            </w:r>
          </w:p>
        </w:tc>
        <w:tc>
          <w:tcPr>
            <w:tcW w:w="100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auto"/>
              </w:rPr>
              <w:t>333-252638</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4/6/21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4">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10</w:t>
              </w:r>
              <w:r>
                <w:rPr>
                  <w:rFonts w:ascii="Times New Roman" w:cs="Times New Roman" w:eastAsia="Times New Roman" w:hAnsi="Times New Roman"/>
                  <w:sz w:val="13"/>
                  <w:szCs w:val="13"/>
                  <w:color w:val="000000"/>
                </w:rPr>
                <w:t>+</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4">
              <w:r>
                <w:rPr>
                  <w:rFonts w:ascii="Times New Roman" w:cs="Times New Roman" w:eastAsia="Times New Roman" w:hAnsi="Times New Roman"/>
                  <w:sz w:val="13"/>
                  <w:szCs w:val="13"/>
                  <w:color w:val="0000FF"/>
                </w:rPr>
                <w:t>Credit and Security Agreement, dated as of March 15, 2021, by and among Talkspace Network LLC, Groop Internet</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5"/>
            <w:vMerge w:val="restart"/>
          </w:tcPr>
          <w:p>
            <w:pPr>
              <w:spacing w:after="0"/>
              <w:rPr>
                <w:rFonts w:ascii="Times New Roman" w:cs="Times New Roman" w:eastAsia="Times New Roman" w:hAnsi="Times New Roman"/>
                <w:sz w:val="13"/>
                <w:szCs w:val="13"/>
                <w:color w:val="0000FF"/>
              </w:rPr>
            </w:pPr>
            <w:hyperlink r:id="rId30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11</w:t>
              </w:r>
            </w:hyperlink>
            <w:r>
              <w:rPr>
                <w:rFonts w:ascii="Times New Roman" w:cs="Times New Roman" w:eastAsia="Times New Roman" w:hAnsi="Times New Roman"/>
                <w:sz w:val="13"/>
                <w:szCs w:val="13"/>
                <w:color w:val="000000"/>
              </w:rPr>
              <w:t>†</w:t>
            </w: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580" w:type="dxa"/>
            <w:vAlign w:val="bottom"/>
            <w:tcBorders>
              <w:bottom w:val="single" w:sz="8" w:color="0000FF"/>
            </w:tcBorders>
            <w:gridSpan w:val="10"/>
          </w:tcPr>
          <w:p>
            <w:pPr>
              <w:spacing w:after="0" w:line="129" w:lineRule="exact"/>
              <w:rPr>
                <w:rFonts w:ascii="Times New Roman" w:cs="Times New Roman" w:eastAsia="Times New Roman" w:hAnsi="Times New Roman"/>
                <w:sz w:val="13"/>
                <w:szCs w:val="13"/>
                <w:color w:val="0000FF"/>
              </w:rPr>
            </w:pPr>
            <w:hyperlink r:id="rId304">
              <w:r>
                <w:rPr>
                  <w:rFonts w:ascii="Times New Roman" w:cs="Times New Roman" w:eastAsia="Times New Roman" w:hAnsi="Times New Roman"/>
                  <w:sz w:val="13"/>
                  <w:szCs w:val="13"/>
                  <w:color w:val="0000FF"/>
                </w:rPr>
                <w:t>Platform, Inc. and JPMorgan Chase Bank, N.A.</w:t>
              </w:r>
            </w:hyperlink>
          </w:p>
        </w:tc>
        <w:tc>
          <w:tcPr>
            <w:tcW w:w="80" w:type="dxa"/>
            <w:vAlign w:val="bottom"/>
            <w:tcBorders>
              <w:bottom w:val="single" w:sz="8" w:color="0000EE"/>
            </w:tcBorders>
          </w:tcPr>
          <w:p>
            <w:pPr>
              <w:spacing w:after="0"/>
              <w:rPr>
                <w:sz w:val="11"/>
                <w:szCs w:val="11"/>
                <w:color w:val="auto"/>
              </w:rPr>
            </w:pPr>
          </w:p>
        </w:tc>
        <w:tc>
          <w:tcPr>
            <w:tcW w:w="3660" w:type="dxa"/>
            <w:vAlign w:val="bottom"/>
            <w:gridSpan w:val="17"/>
          </w:tcPr>
          <w:p>
            <w:pPr>
              <w:spacing w:after="0"/>
              <w:rPr>
                <w:sz w:val="11"/>
                <w:szCs w:val="11"/>
                <w:color w:val="auto"/>
              </w:rPr>
            </w:pPr>
          </w:p>
        </w:tc>
        <w:tc>
          <w:tcPr>
            <w:tcW w:w="180" w:type="dxa"/>
            <w:vAlign w:val="bottom"/>
            <w:vMerge w:val="continue"/>
          </w:tcPr>
          <w:p>
            <w:pPr>
              <w:spacing w:after="0"/>
              <w:rPr>
                <w:sz w:val="11"/>
                <w:szCs w:val="1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10-Q</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10.14</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8/9/21</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5">
              <w:r>
                <w:rPr>
                  <w:rFonts w:ascii="Times New Roman" w:cs="Times New Roman" w:eastAsia="Times New Roman" w:hAnsi="Times New Roman"/>
                  <w:sz w:val="13"/>
                  <w:szCs w:val="13"/>
                  <w:color w:val="0000FF"/>
                </w:rPr>
                <w:t>Employment Agreement, dated July 2, 2021, between the Company and Jennifer Fulk.</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w w:val="98"/>
              </w:rPr>
              <w:t>8-K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12/10/21</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6">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12</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6">
              <w:r>
                <w:rPr>
                  <w:rFonts w:ascii="Times New Roman" w:cs="Times New Roman" w:eastAsia="Times New Roman" w:hAnsi="Times New Roman"/>
                  <w:sz w:val="13"/>
                  <w:szCs w:val="13"/>
                  <w:color w:val="0000FF"/>
                </w:rPr>
                <w:t>Retention Agreement, dated December 6, 2021 by and between the Company and Jennifer Fulk.</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10.16</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7">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16</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7">
              <w:r>
                <w:rPr>
                  <w:rFonts w:ascii="Times New Roman" w:cs="Times New Roman" w:eastAsia="Times New Roman" w:hAnsi="Times New Roman"/>
                  <w:sz w:val="13"/>
                  <w:szCs w:val="13"/>
                  <w:color w:val="0000FF"/>
                </w:rPr>
                <w:t>Employment Offer Letter, dated as of June 22, 2021, by and between Talkspace, Inc. and Gil Margolin.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17</w:t>
              </w:r>
              <w:r>
                <w:rPr>
                  <w:rFonts w:ascii="Times New Roman" w:cs="Times New Roman" w:eastAsia="Times New Roman" w:hAnsi="Times New Roman"/>
                  <w:sz w:val="13"/>
                  <w:szCs w:val="13"/>
                  <w:color w:val="000000"/>
                </w:rPr>
                <w:t>†</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8">
              <w:r>
                <w:rPr>
                  <w:rFonts w:ascii="Times New Roman" w:cs="Times New Roman" w:eastAsia="Times New Roman" w:hAnsi="Times New Roman"/>
                  <w:sz w:val="13"/>
                  <w:szCs w:val="13"/>
                  <w:color w:val="0000FF"/>
                </w:rPr>
                <w:t>Employment Offer Letter, dated as of June 22, 2021, by and between Talkspace, Inc. and Samara Braunstein.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09">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18</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09">
              <w:r>
                <w:rPr>
                  <w:rFonts w:ascii="Times New Roman" w:cs="Times New Roman" w:eastAsia="Times New Roman" w:hAnsi="Times New Roman"/>
                  <w:sz w:val="13"/>
                  <w:szCs w:val="13"/>
                  <w:color w:val="0000FF"/>
                </w:rPr>
                <w:t>Employment Offer Letter, dated as of June 22, 2021, by and between Talkspace, Inc. and John C. Reilly.</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10.19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1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19</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10">
              <w:r>
                <w:rPr>
                  <w:rFonts w:ascii="Times New Roman" w:cs="Times New Roman" w:eastAsia="Times New Roman" w:hAnsi="Times New Roman"/>
                  <w:sz w:val="13"/>
                  <w:szCs w:val="13"/>
                  <w:color w:val="0000FF"/>
                </w:rPr>
                <w:t>Retention Agreement, dated as of December 6, 2021, by and between Talkspace, Inc. and Gil Margolin.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10.20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11">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20</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11">
              <w:r>
                <w:rPr>
                  <w:rFonts w:ascii="Times New Roman" w:cs="Times New Roman" w:eastAsia="Times New Roman" w:hAnsi="Times New Roman"/>
                  <w:sz w:val="13"/>
                  <w:szCs w:val="13"/>
                  <w:color w:val="0000FF"/>
                </w:rPr>
                <w:t>Retention Agreement, dated as of December 6,2021, by and between Talkspace, Inc. and Samara Braunstein.</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10-K</w:t>
            </w:r>
          </w:p>
        </w:tc>
        <w:tc>
          <w:tcPr>
            <w:tcW w:w="1000" w:type="dxa"/>
            <w:vAlign w:val="bottom"/>
            <w:vMerge w:val="restart"/>
          </w:tcPr>
          <w:p>
            <w:pPr>
              <w:jc w:val="center"/>
              <w:ind w:left="32"/>
              <w:spacing w:after="0"/>
              <w:rPr>
                <w:sz w:val="20"/>
                <w:szCs w:val="20"/>
                <w:color w:val="auto"/>
              </w:rPr>
            </w:pPr>
            <w:r>
              <w:rPr>
                <w:rFonts w:ascii="Times New Roman" w:cs="Times New Roman" w:eastAsia="Times New Roman" w:hAnsi="Times New Roman"/>
                <w:sz w:val="13"/>
                <w:szCs w:val="13"/>
                <w:color w:val="auto"/>
              </w:rPr>
              <w:t>001-39314</w:t>
            </w:r>
          </w:p>
        </w:tc>
        <w:tc>
          <w:tcPr>
            <w:tcW w:w="74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color w:val="auto"/>
              </w:rPr>
              <w:t>10.21</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2/25/22</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rFonts w:ascii="Times New Roman" w:cs="Times New Roman" w:eastAsia="Times New Roman" w:hAnsi="Times New Roman"/>
                <w:sz w:val="13"/>
                <w:szCs w:val="13"/>
                <w:color w:val="0000FF"/>
              </w:rPr>
            </w:pPr>
            <w:hyperlink r:id="rId31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21</w:t>
              </w:r>
            </w:hyperlink>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rFonts w:ascii="Times New Roman" w:cs="Times New Roman" w:eastAsia="Times New Roman" w:hAnsi="Times New Roman"/>
                <w:sz w:val="13"/>
                <w:szCs w:val="13"/>
                <w:color w:val="0000FF"/>
              </w:rPr>
            </w:pPr>
            <w:hyperlink r:id="rId312">
              <w:r>
                <w:rPr>
                  <w:rFonts w:ascii="Times New Roman" w:cs="Times New Roman" w:eastAsia="Times New Roman" w:hAnsi="Times New Roman"/>
                  <w:sz w:val="13"/>
                  <w:szCs w:val="13"/>
                  <w:color w:val="0000FF"/>
                </w:rPr>
                <w:t>Retention Agreement, dated as of December 6, 2021, by and between Talkspace, Inc. and John C. Reilly.</w:t>
              </w:r>
            </w:hyperlink>
          </w:p>
        </w:tc>
        <w:tc>
          <w:tcPr>
            <w:tcW w:w="5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5"/>
          </w:tcPr>
          <w:p>
            <w:pPr>
              <w:spacing w:after="0" w:line="142" w:lineRule="exact"/>
              <w:rPr>
                <w:sz w:val="20"/>
                <w:szCs w:val="20"/>
                <w:color w:val="auto"/>
              </w:rPr>
            </w:pPr>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22</w:t>
            </w:r>
            <w:r>
              <w:rPr>
                <w:rFonts w:ascii="Times New Roman" w:cs="Times New Roman" w:eastAsia="Times New Roman" w:hAnsi="Times New Roman"/>
                <w:sz w:val="13"/>
                <w:szCs w:val="13"/>
                <w:color w:val="000000"/>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sz w:val="20"/>
                <w:szCs w:val="20"/>
                <w:color w:val="auto"/>
              </w:rPr>
            </w:pPr>
            <w:r>
              <w:rPr>
                <w:rFonts w:ascii="Times New Roman" w:cs="Times New Roman" w:eastAsia="Times New Roman" w:hAnsi="Times New Roman"/>
                <w:sz w:val="13"/>
                <w:szCs w:val="13"/>
                <w:color w:val="0000FF"/>
              </w:rPr>
              <w:t>Employment Offer Letter, dated as of November 9, 2022, by and between Talkspace, Inc. and Jon R. Cohen.</w:t>
            </w: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0000EE"/>
            </w:tcBorders>
          </w:tcPr>
          <w:p>
            <w:pPr>
              <w:spacing w:after="0"/>
              <w:rPr>
                <w:sz w:val="12"/>
                <w:szCs w:val="12"/>
                <w:color w:val="auto"/>
              </w:rPr>
            </w:pPr>
          </w:p>
        </w:tc>
        <w:tc>
          <w:tcPr>
            <w:tcW w:w="26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FF"/>
                <w:w w:val="96"/>
              </w:rPr>
              <w:t>21.</w:t>
            </w:r>
            <w:r>
              <w:rPr>
                <w:rFonts w:ascii="Times New Roman" w:cs="Times New Roman" w:eastAsia="Times New Roman" w:hAnsi="Times New Roman"/>
                <w:sz w:val="13"/>
                <w:szCs w:val="13"/>
                <w:u w:val="single" w:color="auto"/>
                <w:color w:val="0000FF"/>
                <w:w w:val="96"/>
              </w:rPr>
              <w:t>1</w:t>
            </w:r>
          </w:p>
        </w:tc>
        <w:tc>
          <w:tcPr>
            <w:tcW w:w="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3"/>
                <w:szCs w:val="13"/>
                <w:color w:val="0000FF"/>
              </w:rPr>
              <w:t>List of Subsidiaries of Talkspace, Inc.</w:t>
            </w:r>
          </w:p>
        </w:tc>
        <w:tc>
          <w:tcPr>
            <w:tcW w:w="620" w:type="dxa"/>
            <w:vAlign w:val="bottom"/>
            <w:gridSpan w:val="7"/>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FF"/>
                <w:w w:val="96"/>
              </w:rPr>
              <w:t>23.</w:t>
            </w:r>
            <w:r>
              <w:rPr>
                <w:rFonts w:ascii="Times New Roman" w:cs="Times New Roman" w:eastAsia="Times New Roman" w:hAnsi="Times New Roman"/>
                <w:sz w:val="13"/>
                <w:szCs w:val="13"/>
                <w:u w:val="single" w:color="auto"/>
                <w:color w:val="0000FF"/>
                <w:w w:val="96"/>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40" w:type="dxa"/>
            <w:vAlign w:val="bottom"/>
            <w:tcBorders>
              <w:bottom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3"/>
                <w:szCs w:val="13"/>
                <w:color w:val="0000FF"/>
              </w:rPr>
              <w:t>Consent of Kost Forer Gabbay &amp; Kasierer, a member of Ernst &amp; Young Global, Independent Registered Public</w:t>
            </w:r>
          </w:p>
        </w:tc>
        <w:tc>
          <w:tcPr>
            <w:tcW w:w="460" w:type="dxa"/>
            <w:vAlign w:val="bottom"/>
            <w:gridSpan w:val="6"/>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w w:val="96"/>
              </w:rPr>
              <w:t>31.</w:t>
            </w:r>
            <w:r>
              <w:rPr>
                <w:rFonts w:ascii="Times New Roman" w:cs="Times New Roman" w:eastAsia="Times New Roman" w:hAnsi="Times New Roman"/>
                <w:sz w:val="13"/>
                <w:szCs w:val="13"/>
                <w:u w:val="single" w:color="auto"/>
                <w:color w:val="0000FF"/>
                <w:w w:val="96"/>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96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3"/>
                <w:szCs w:val="13"/>
                <w:color w:val="0000FF"/>
              </w:rPr>
              <w:t>Accounting Firm.</w:t>
            </w:r>
          </w:p>
        </w:tc>
        <w:tc>
          <w:tcPr>
            <w:tcW w:w="20" w:type="dxa"/>
            <w:vAlign w:val="bottom"/>
            <w:tcBorders>
              <w:bottom w:val="single" w:sz="8" w:color="0000EE"/>
            </w:tcBorders>
          </w:tcPr>
          <w:p>
            <w:pPr>
              <w:spacing w:after="0"/>
              <w:rPr>
                <w:sz w:val="11"/>
                <w:szCs w:val="11"/>
                <w:color w:val="auto"/>
              </w:rPr>
            </w:pPr>
          </w:p>
        </w:tc>
        <w:tc>
          <w:tcPr>
            <w:tcW w:w="5060" w:type="dxa"/>
            <w:vAlign w:val="bottom"/>
            <w:gridSpan w:val="21"/>
          </w:tcPr>
          <w:p>
            <w:pPr>
              <w:spacing w:after="0"/>
              <w:rPr>
                <w:sz w:val="11"/>
                <w:szCs w:val="11"/>
                <w:color w:val="auto"/>
              </w:rPr>
            </w:pPr>
          </w:p>
        </w:tc>
        <w:tc>
          <w:tcPr>
            <w:tcW w:w="460" w:type="dxa"/>
            <w:vAlign w:val="bottom"/>
            <w:gridSpan w:val="6"/>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2" w:lineRule="exact"/>
              <w:rPr>
                <w:sz w:val="20"/>
                <w:szCs w:val="20"/>
                <w:color w:val="auto"/>
              </w:rPr>
            </w:pPr>
            <w:r>
              <w:rPr>
                <w:rFonts w:ascii="Times New Roman" w:cs="Times New Roman" w:eastAsia="Times New Roman" w:hAnsi="Times New Roman"/>
                <w:sz w:val="13"/>
                <w:szCs w:val="13"/>
                <w:color w:val="0000FF"/>
              </w:rPr>
              <w:t>Certification of Chief Executive Officer pursuant to Rule 13a-14(a)/15d-14(a).</w:t>
            </w: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0000EE"/>
            </w:tcBorders>
          </w:tcPr>
          <w:p>
            <w:pPr>
              <w:spacing w:after="0"/>
              <w:rPr>
                <w:sz w:val="12"/>
                <w:szCs w:val="12"/>
                <w:color w:val="auto"/>
              </w:rPr>
            </w:pPr>
          </w:p>
        </w:tc>
        <w:tc>
          <w:tcPr>
            <w:tcW w:w="260" w:type="dxa"/>
            <w:vAlign w:val="bottom"/>
            <w:tcBorders>
              <w:top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FF"/>
                <w:w w:val="96"/>
              </w:rPr>
              <w:t>31.</w:t>
            </w:r>
            <w:r>
              <w:rPr>
                <w:rFonts w:ascii="Times New Roman" w:cs="Times New Roman" w:eastAsia="Times New Roman" w:hAnsi="Times New Roman"/>
                <w:sz w:val="13"/>
                <w:szCs w:val="13"/>
                <w:u w:val="single" w:color="auto"/>
                <w:color w:val="0000FF"/>
                <w:w w:val="96"/>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3"/>
                <w:szCs w:val="13"/>
                <w:color w:val="0000FF"/>
              </w:rPr>
              <w:t>Certification of Chief Financial Officer pursuant to Rule 13a-14(a)/15d-14(a).</w:t>
            </w:r>
          </w:p>
        </w:tc>
        <w:tc>
          <w:tcPr>
            <w:tcW w:w="2260" w:type="dxa"/>
            <w:vAlign w:val="bottom"/>
            <w:gridSpan w:val="14"/>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0000EE"/>
              <w:bottom w:val="single" w:sz="8" w:color="0000EE"/>
            </w:tcBorders>
          </w:tcPr>
          <w:p>
            <w:pPr>
              <w:spacing w:after="0"/>
              <w:rPr>
                <w:sz w:val="12"/>
                <w:szCs w:val="12"/>
                <w:color w:val="auto"/>
              </w:rPr>
            </w:pPr>
          </w:p>
        </w:tc>
        <w:tc>
          <w:tcPr>
            <w:tcW w:w="2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FF"/>
                <w:w w:val="96"/>
              </w:rPr>
              <w:t>32.</w:t>
            </w:r>
            <w:r>
              <w:rPr>
                <w:rFonts w:ascii="Times New Roman" w:cs="Times New Roman" w:eastAsia="Times New Roman" w:hAnsi="Times New Roman"/>
                <w:sz w:val="13"/>
                <w:szCs w:val="13"/>
                <w:u w:val="single" w:color="auto"/>
                <w:color w:val="0000FF"/>
                <w:w w:val="96"/>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3"/>
                <w:szCs w:val="13"/>
                <w:color w:val="0000FF"/>
              </w:rPr>
              <w:t>Certification of Chief Executive Officer pursuant to 18 U.S.C. Section 1350.</w:t>
            </w:r>
          </w:p>
        </w:tc>
        <w:tc>
          <w:tcPr>
            <w:tcW w:w="60" w:type="dxa"/>
            <w:vAlign w:val="bottom"/>
            <w:tcBorders>
              <w:top w:val="single" w:sz="8" w:color="0000FF"/>
            </w:tcBorders>
          </w:tcPr>
          <w:p>
            <w:pPr>
              <w:spacing w:after="0"/>
              <w:rPr>
                <w:sz w:val="12"/>
                <w:szCs w:val="12"/>
                <w:color w:val="auto"/>
              </w:rPr>
            </w:pPr>
          </w:p>
        </w:tc>
        <w:tc>
          <w:tcPr>
            <w:tcW w:w="2300" w:type="dxa"/>
            <w:vAlign w:val="bottom"/>
            <w:gridSpan w:val="15"/>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Borders>
              <w:bottom w:val="single" w:sz="8" w:color="0000EE"/>
            </w:tcBorders>
          </w:tcPr>
          <w:p>
            <w:pPr>
              <w:spacing w:after="0"/>
              <w:rPr>
                <w:sz w:val="12"/>
                <w:szCs w:val="12"/>
                <w:color w:val="auto"/>
              </w:rPr>
            </w:pPr>
          </w:p>
        </w:tc>
        <w:tc>
          <w:tcPr>
            <w:tcW w:w="260" w:type="dxa"/>
            <w:vAlign w:val="bottom"/>
            <w:tcBorders>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3"/>
                <w:szCs w:val="13"/>
                <w:color w:val="0000FF"/>
                <w:w w:val="96"/>
              </w:rPr>
              <w:t>32.</w:t>
            </w:r>
            <w:r>
              <w:rPr>
                <w:rFonts w:ascii="Times New Roman" w:cs="Times New Roman" w:eastAsia="Times New Roman" w:hAnsi="Times New Roman"/>
                <w:sz w:val="13"/>
                <w:szCs w:val="13"/>
                <w:u w:val="single" w:color="auto"/>
                <w:color w:val="0000FF"/>
                <w:w w:val="96"/>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bottom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3"/>
                <w:szCs w:val="13"/>
                <w:color w:val="0000FF"/>
              </w:rPr>
              <w:t>Certification of Chief Financial Officer pursuant to 18 U.S.C. Section 1350.</w:t>
            </w:r>
          </w:p>
        </w:tc>
        <w:tc>
          <w:tcPr>
            <w:tcW w:w="2400" w:type="dxa"/>
            <w:vAlign w:val="bottom"/>
            <w:gridSpan w:val="17"/>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80" w:type="dxa"/>
            <w:vAlign w:val="bottom"/>
            <w:gridSpan w:val="5"/>
          </w:tcPr>
          <w:p>
            <w:pPr>
              <w:spacing w:after="0" w:line="143" w:lineRule="exact"/>
              <w:rPr>
                <w:sz w:val="20"/>
                <w:szCs w:val="20"/>
                <w:color w:val="auto"/>
              </w:rPr>
            </w:pPr>
            <w:r>
              <w:rPr>
                <w:rFonts w:ascii="Times New Roman" w:cs="Times New Roman" w:eastAsia="Times New Roman" w:hAnsi="Times New Roman"/>
                <w:sz w:val="13"/>
                <w:szCs w:val="13"/>
                <w:color w:val="auto"/>
              </w:rPr>
              <w:t>101.INS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500" w:type="dxa"/>
            <w:vAlign w:val="bottom"/>
            <w:gridSpan w:val="29"/>
          </w:tcPr>
          <w:p>
            <w:pPr>
              <w:spacing w:after="0" w:line="143" w:lineRule="exact"/>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 because XBRL</w:t>
            </w: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tags are embedded within the Inline XBRL document.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101.SCH</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101.CAL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101.DEF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101.LAB</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101.PRE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52"/>
        </w:trPr>
        <w:tc>
          <w:tcPr>
            <w:tcW w:w="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Cover Page Interactive Data File (as formatted as Inline XBRL and contained</w:t>
            </w: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00" w:type="dxa"/>
            <w:vAlign w:val="bottom"/>
            <w:gridSpan w:val="29"/>
          </w:tcPr>
          <w:p>
            <w:pPr>
              <w:spacing w:after="0"/>
              <w:rPr>
                <w:sz w:val="20"/>
                <w:szCs w:val="20"/>
                <w:color w:val="auto"/>
              </w:rPr>
            </w:pPr>
            <w:r>
              <w:rPr>
                <w:rFonts w:ascii="Times New Roman" w:cs="Times New Roman" w:eastAsia="Times New Roman" w:hAnsi="Times New Roman"/>
                <w:sz w:val="13"/>
                <w:szCs w:val="13"/>
                <w:color w:val="auto"/>
              </w:rPr>
              <w:t>in Exhibit 101).</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230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0"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Furnished herewith.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Indicates management contract or compensatory plan.</w:t>
      </w:r>
    </w:p>
    <w:p>
      <w:pPr>
        <w:spacing w:after="0" w:line="40" w:lineRule="exact"/>
        <w:rPr>
          <w:sz w:val="20"/>
          <w:szCs w:val="20"/>
          <w:color w:val="auto"/>
        </w:rPr>
      </w:pPr>
    </w:p>
    <w:p>
      <w:pPr>
        <w:ind w:left="200" w:right="3760" w:hanging="192"/>
        <w:spacing w:after="0" w:line="232" w:lineRule="auto"/>
        <w:tabs>
          <w:tab w:leader="none" w:pos="2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Schedules and exhibits have been omitted pursuant to Item 601(b)(2) of Regulation S-K. The Registrant agrees to furnish supplementally a copy of any omitted schedule or exhibit to the SEC upon request.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TALKSPACE, INC.</w:t>
            </w:r>
          </w:p>
        </w:tc>
      </w:tr>
      <w:tr>
        <w:trPr>
          <w:trHeight w:val="47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2023</w:t>
            </w:r>
          </w:p>
        </w:tc>
        <w:tc>
          <w:tcPr>
            <w:tcW w:w="25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2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R. Cohen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R. Cohen</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523"/>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Fulk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6"/>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Jennifer Fulk</w:t>
            </w:r>
          </w:p>
        </w:tc>
        <w:tc>
          <w:tcPr>
            <w:tcW w:w="12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20"/>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Braunstein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7"/>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Douglas Braunstein</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2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Erez Shachar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Erez Shachar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Curtis Warfield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Curtis Warfield</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Jacqueline Yeaney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Jacqueline Yeaney</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Hansen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Hansen</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49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Madhu Pawar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184"/>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Madhu Pawar</w:t>
            </w:r>
          </w:p>
        </w:tc>
        <w:tc>
          <w:tcPr>
            <w:tcW w:w="1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620"/>
        </w:trPr>
        <w:tc>
          <w:tcPr>
            <w:tcW w:w="3720" w:type="dxa"/>
            <w:vAlign w:val="bottom"/>
          </w:tcPr>
          <w:p>
            <w:pPr>
              <w:spacing w:after="0"/>
              <w:rPr>
                <w:sz w:val="24"/>
                <w:szCs w:val="24"/>
                <w:color w:val="auto"/>
              </w:rPr>
            </w:pPr>
          </w:p>
        </w:tc>
        <w:tc>
          <w:tcPr>
            <w:tcW w:w="4980" w:type="dxa"/>
            <w:vAlign w:val="bottom"/>
            <w:gridSpan w:val="2"/>
          </w:tcPr>
          <w:p>
            <w:pPr>
              <w:jc w:val="right"/>
              <w:ind w:right="289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19685</wp:posOffset>
            </wp:positionV>
            <wp:extent cx="2794635" cy="8229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279463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527"/>
        <w:spacing w:after="0"/>
        <w:rPr>
          <w:sz w:val="20"/>
          <w:szCs w:val="20"/>
          <w:color w:val="auto"/>
        </w:rPr>
      </w:pPr>
      <w:r>
        <w:rPr>
          <w:rFonts w:ascii="Times New Roman" w:cs="Times New Roman" w:eastAsia="Times New Roman" w:hAnsi="Times New Roman"/>
          <w:sz w:val="20"/>
          <w:szCs w:val="20"/>
          <w:color w:val="auto"/>
        </w:rPr>
        <w:t>November 7, 2022</w:t>
      </w:r>
    </w:p>
    <w:p>
      <w:pPr>
        <w:spacing w:after="0" w:line="200" w:lineRule="exact"/>
        <w:rPr>
          <w:sz w:val="20"/>
          <w:szCs w:val="20"/>
          <w:color w:val="auto"/>
        </w:rPr>
      </w:pPr>
    </w:p>
    <w:p>
      <w:pPr>
        <w:spacing w:after="0" w:line="38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Jon R. Cohen MD 3 Lake Road North</w:t>
      </w:r>
    </w:p>
    <w:p>
      <w:pPr>
        <w:spacing w:after="0" w:line="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Great Neck, New York 11020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Dear Jon,</w:t>
      </w:r>
    </w:p>
    <w:p>
      <w:pPr>
        <w:spacing w:after="0" w:line="306" w:lineRule="exact"/>
        <w:rPr>
          <w:sz w:val="20"/>
          <w:szCs w:val="20"/>
          <w:color w:val="auto"/>
        </w:rPr>
      </w:pPr>
    </w:p>
    <w:p>
      <w:pPr>
        <w:jc w:val="both"/>
        <w:ind w:left="7" w:right="120"/>
        <w:spacing w:after="0" w:line="250" w:lineRule="auto"/>
        <w:rPr>
          <w:sz w:val="20"/>
          <w:szCs w:val="20"/>
          <w:color w:val="auto"/>
        </w:rPr>
      </w:pPr>
      <w:r>
        <w:rPr>
          <w:rFonts w:ascii="Times New Roman" w:cs="Times New Roman" w:eastAsia="Times New Roman" w:hAnsi="Times New Roman"/>
          <w:sz w:val="20"/>
          <w:szCs w:val="20"/>
          <w:color w:val="auto"/>
        </w:rPr>
        <w:t>Talkspace, Inc. (d.b.a. Talkspace)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very pleased to offer you the position of Chief Executive Officer reporting to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with a start date of November 9, 2022 (your actual start date, the “</w:t>
      </w:r>
      <w:r>
        <w:rPr>
          <w:rFonts w:ascii="Times New Roman" w:cs="Times New Roman" w:eastAsia="Times New Roman" w:hAnsi="Times New Roman"/>
          <w:sz w:val="20"/>
          <w:szCs w:val="20"/>
          <w:b w:val="1"/>
          <w:bCs w:val="1"/>
          <w:color w:val="auto"/>
        </w:rPr>
        <w:t>Start Date</w:t>
      </w:r>
      <w:r>
        <w:rPr>
          <w:rFonts w:ascii="Times New Roman" w:cs="Times New Roman" w:eastAsia="Times New Roman" w:hAnsi="Times New Roman"/>
          <w:sz w:val="20"/>
          <w:szCs w:val="20"/>
          <w:color w:val="auto"/>
        </w:rPr>
        <w:t>”). This letter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including the exhibits attached hereto, sets forth the terms and conditions of your employment with the Company.</w:t>
      </w:r>
    </w:p>
    <w:p>
      <w:pPr>
        <w:spacing w:after="0" w:line="234" w:lineRule="exact"/>
        <w:rPr>
          <w:sz w:val="20"/>
          <w:szCs w:val="20"/>
          <w:color w:val="auto"/>
        </w:rPr>
      </w:pPr>
    </w:p>
    <w:p>
      <w:pPr>
        <w:jc w:val="both"/>
        <w:ind w:left="7" w:right="120" w:hanging="7"/>
        <w:spacing w:after="0" w:line="246" w:lineRule="auto"/>
        <w:tabs>
          <w:tab w:leader="none" w:pos="7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xml:space="preserve">. You shall devote your full working time, attention and best efforts to fulfill your duties to the Company and to further the business and interests of the Company. In connection with your new position, you will resign from all other boards of directors on which you serve as of the Start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you shall be entitled to serve on civic, charitable, educational, public interest or public service boards, and manage your personal and family investments, to the extent such activities do not materially interfere, individually or in the aggregate, with the performance of your duties and responsibilities to the Company.</w:t>
      </w:r>
    </w:p>
    <w:p>
      <w:pPr>
        <w:spacing w:after="0" w:line="211" w:lineRule="exact"/>
        <w:rPr>
          <w:rFonts w:ascii="Times New Roman" w:cs="Times New Roman" w:eastAsia="Times New Roman" w:hAnsi="Times New Roman"/>
          <w:sz w:val="20"/>
          <w:szCs w:val="20"/>
          <w:color w:val="auto"/>
        </w:rPr>
      </w:pPr>
    </w:p>
    <w:p>
      <w:pPr>
        <w:jc w:val="both"/>
        <w:ind w:left="7" w:right="120" w:hanging="7"/>
        <w:spacing w:after="0" w:line="246" w:lineRule="auto"/>
        <w:tabs>
          <w:tab w:leader="none" w:pos="7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Salary</w:t>
      </w:r>
      <w:r>
        <w:rPr>
          <w:rFonts w:ascii="Times New Roman" w:cs="Times New Roman" w:eastAsia="Times New Roman" w:hAnsi="Times New Roman"/>
          <w:sz w:val="20"/>
          <w:szCs w:val="20"/>
          <w:color w:val="auto"/>
        </w:rPr>
        <w:t>. While you are employed by the Company, you will receive an annual salary of Six Hundred Thousand ($600,000) subject to tax and other withholdings as required by law, which will be paid semi-monthly in accordance with the Company’s normal payroll procedures (your “</w:t>
      </w:r>
      <w:r>
        <w:rPr>
          <w:rFonts w:ascii="Times New Roman" w:cs="Times New Roman" w:eastAsia="Times New Roman" w:hAnsi="Times New Roman"/>
          <w:sz w:val="20"/>
          <w:szCs w:val="20"/>
          <w:b w:val="1"/>
          <w:bCs w:val="1"/>
          <w:color w:val="auto"/>
        </w:rPr>
        <w:t>Base Salary</w:t>
      </w:r>
      <w:r>
        <w:rPr>
          <w:rFonts w:ascii="Times New Roman" w:cs="Times New Roman" w:eastAsia="Times New Roman" w:hAnsi="Times New Roman"/>
          <w:sz w:val="20"/>
          <w:szCs w:val="20"/>
          <w:color w:val="auto"/>
        </w:rPr>
        <w:t>”). Your Base Salary will be subject to annual review by the Board or the Compensation Committee of the Board (the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and may be increased from time to time in accordance with normal business practice or taking into account any other relevant factors, at the sole discretion of the Board or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942340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17" w:right="339" w:bottom="1440" w:gutter="0" w:footer="0" w:header="0"/>
        </w:sectPr>
      </w:pPr>
    </w:p>
    <w:bookmarkStart w:id="89" w:name="page90"/>
    <w:bookmarkEnd w:id="89"/>
    <w:p>
      <w:pPr>
        <w:jc w:val="both"/>
        <w:ind w:left="7" w:hanging="7"/>
        <w:spacing w:after="0" w:line="243" w:lineRule="auto"/>
        <w:tabs>
          <w:tab w:leader="none" w:pos="7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Bonus</w:t>
      </w:r>
      <w:r>
        <w:rPr>
          <w:rFonts w:ascii="Times New Roman" w:cs="Times New Roman" w:eastAsia="Times New Roman" w:hAnsi="Times New Roman"/>
          <w:sz w:val="20"/>
          <w:szCs w:val="20"/>
          <w:color w:val="auto"/>
        </w:rPr>
        <w:t>. While you are employed by the Company and starting for the Calendar year 2023, you will be eligible for an annual bonus under the Company’s annual incentive program (your “</w:t>
      </w:r>
      <w:r>
        <w:rPr>
          <w:rFonts w:ascii="Times New Roman" w:cs="Times New Roman" w:eastAsia="Times New Roman" w:hAnsi="Times New Roman"/>
          <w:sz w:val="20"/>
          <w:szCs w:val="20"/>
          <w:b w:val="1"/>
          <w:bCs w:val="1"/>
          <w:color w:val="auto"/>
        </w:rPr>
        <w:t>Annual Bonus</w:t>
      </w:r>
      <w:r>
        <w:rPr>
          <w:rFonts w:ascii="Times New Roman" w:cs="Times New Roman" w:eastAsia="Times New Roman" w:hAnsi="Times New Roman"/>
          <w:sz w:val="20"/>
          <w:szCs w:val="20"/>
          <w:color w:val="auto"/>
        </w:rPr>
        <w:t>”). Your target Annual Bonus will be equal to 100% of your Base Salary as in effect from time to time. Your Annual Bonus will be earned based on the achievement of both individual and Company goals as communicated to you by the Board or the Committee on an annual basis, and subject to the terms and conditions of the applicable program. For the 2023 calendar year, your annual bonus is guaranteed for at least the target Annual Bonus level of $600,000. You will have the opportunity to achieve up to a total of 150% of your target Annual Bonus based on achieving “maximum” level of achievement of the applicable performance goals as determined by the Board or the Committee for the applicable calendar year. Details on assessment, tracking, and eligibility is detailed in the Talkspace Handbook. In order to earn any Annual Bonus for a given calendar year, you must remain employed by the Company on the date such Annual Bonus is paid.</w:t>
      </w:r>
    </w:p>
    <w:p>
      <w:pPr>
        <w:spacing w:after="0" w:line="212" w:lineRule="exact"/>
        <w:rPr>
          <w:rFonts w:ascii="Times New Roman" w:cs="Times New Roman" w:eastAsia="Times New Roman" w:hAnsi="Times New Roman"/>
          <w:sz w:val="20"/>
          <w:szCs w:val="20"/>
          <w:color w:val="auto"/>
        </w:rPr>
      </w:pPr>
    </w:p>
    <w:p>
      <w:pPr>
        <w:jc w:val="both"/>
        <w:ind w:left="7" w:hanging="7"/>
        <w:spacing w:after="0" w:line="242" w:lineRule="auto"/>
        <w:tabs>
          <w:tab w:leader="none" w:pos="7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Subject to approval by the Board or its Committee and your continued employment through the applicable 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date</w:t>
      </w:r>
      <w:r>
        <w:rPr>
          <w:rFonts w:ascii="Times New Roman" w:cs="Times New Roman" w:eastAsia="Times New Roman" w:hAnsi="Times New Roman"/>
          <w:sz w:val="20"/>
          <w:szCs w:val="20"/>
          <w:color w:val="000000"/>
        </w:rPr>
        <w:t>, you will receive an initial grant</w:t>
      </w:r>
      <w:r>
        <w:rPr>
          <w:rFonts w:ascii="Times New Roman" w:cs="Times New Roman" w:eastAsia="Times New Roman" w:hAnsi="Times New Roman"/>
          <w:sz w:val="20"/>
          <w:szCs w:val="20"/>
          <w:color w:val="212121"/>
        </w:rPr>
        <w:t xml:space="preserve"> under the Talkspace, Inc. 2021 Incentive Award Plan (the “</w:t>
      </w:r>
      <w:r>
        <w:rPr>
          <w:rFonts w:ascii="Times New Roman" w:cs="Times New Roman" w:eastAsia="Times New Roman" w:hAnsi="Times New Roman"/>
          <w:sz w:val="20"/>
          <w:szCs w:val="20"/>
          <w:b w:val="1"/>
          <w:bCs w:val="1"/>
          <w:color w:val="212121"/>
        </w:rPr>
        <w:t>Plan</w:t>
      </w:r>
      <w:r>
        <w:rPr>
          <w:rFonts w:ascii="Times New Roman" w:cs="Times New Roman" w:eastAsia="Times New Roman" w:hAnsi="Times New Roman"/>
          <w:sz w:val="20"/>
          <w:szCs w:val="20"/>
          <w:color w:val="212121"/>
        </w:rPr>
        <w:t>”) (the “</w:t>
      </w:r>
      <w:r>
        <w:rPr>
          <w:rFonts w:ascii="Times New Roman" w:cs="Times New Roman" w:eastAsia="Times New Roman" w:hAnsi="Times New Roman"/>
          <w:sz w:val="20"/>
          <w:szCs w:val="20"/>
          <w:b w:val="1"/>
          <w:bCs w:val="1"/>
          <w:color w:val="212121"/>
        </w:rPr>
        <w:t>Initial Grant</w:t>
      </w:r>
      <w:r>
        <w:rPr>
          <w:rFonts w:ascii="Times New Roman" w:cs="Times New Roman" w:eastAsia="Times New Roman" w:hAnsi="Times New Roman"/>
          <w:sz w:val="20"/>
          <w:szCs w:val="20"/>
          <w:color w:val="212121"/>
        </w:rPr>
        <w:t>”). The Initial Grant shall be granted in the form of 1,250,000 restricted stock units and 500,000 stock options, a portion of which will be intended to qualify as “incentive stock options”. 25% of the shares underlying the Initial Grant will vest on the first anniversary of your Start Date, and as to the remaining 75% of the shares underlying the Initial Grant, in substantially equal installments on each of the 12 quarterly anniversaries thereafter, subject to your continued employment with the Company on the applicable vesting dates. The grant date applicable to the Initial Grant will be the later of December 1, 2022 and the Start Date, subject in each case to any applicable trading blackout periods. The exercise price applicable to the stock options will be equal to the closing price of a share of the Company’s common stock on the grant date. The terms and conditions of the Initial Grant shall be set forth in one or more separate award agreement(s) in a form(s) prescribed by the Company, to be entered into by the Company and you. Except as otherwise specifically provided in this Agreement, the Initial Grant shall be governed in all respects by the terms of and conditions of the Plan and the applicable award agreement(s).</w:t>
      </w:r>
    </w:p>
    <w:p>
      <w:pPr>
        <w:spacing w:after="0" w:line="201" w:lineRule="exact"/>
        <w:rPr>
          <w:sz w:val="20"/>
          <w:szCs w:val="20"/>
          <w:color w:val="auto"/>
        </w:rPr>
      </w:pPr>
    </w:p>
    <w:p>
      <w:pPr>
        <w:jc w:val="both"/>
        <w:ind w:left="7" w:hanging="7"/>
        <w:spacing w:after="0" w:line="241" w:lineRule="auto"/>
        <w:tabs>
          <w:tab w:leader="none" w:pos="7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12121"/>
        </w:rPr>
        <w:t>Annual Compensation</w:t>
      </w:r>
      <w:r>
        <w:rPr>
          <w:rFonts w:ascii="Times New Roman" w:cs="Times New Roman" w:eastAsia="Times New Roman" w:hAnsi="Times New Roman"/>
          <w:sz w:val="20"/>
          <w:szCs w:val="20"/>
          <w:color w:val="212121"/>
        </w:rPr>
        <w:t xml:space="preserve">: Beginning in March 2023, </w:t>
      </w:r>
      <w:r>
        <w:rPr>
          <w:rFonts w:ascii="Times New Roman" w:cs="Times New Roman" w:eastAsia="Times New Roman" w:hAnsi="Times New Roman"/>
          <w:sz w:val="20"/>
          <w:szCs w:val="20"/>
          <w:color w:val="000000"/>
        </w:rPr>
        <w:t>the Compensation Committee and Board will determine your salary, target</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 xml:space="preserve">annual bonus level and long-term equity compensation utilizing peer data from our third party benchmarking company/independent compensation consultant, as well as your personal and the Company’s relative performance, and establish the appropriate total annual target compensation levels to be applicable for each calendar year during which you remain employed by the Company. In no case will your salary be decreased below your 2022 salary of Six Hundred Thousand Dollars ($600,000). As part of that compensation package </w:t>
      </w:r>
      <w:r>
        <w:rPr>
          <w:rFonts w:ascii="Times New Roman" w:cs="Times New Roman" w:eastAsia="Times New Roman" w:hAnsi="Times New Roman"/>
          <w:sz w:val="20"/>
          <w:szCs w:val="20"/>
          <w:color w:val="212121"/>
        </w:rPr>
        <w:t>you</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121"/>
        </w:rPr>
        <w:t>will be eligible to receive an annual equity-based award with a target aggregate grant date value as determined by the Board or the Committee, subject to your continued employment with the Company on the applicable grant date (the “</w:t>
      </w:r>
      <w:r>
        <w:rPr>
          <w:rFonts w:ascii="Times New Roman" w:cs="Times New Roman" w:eastAsia="Times New Roman" w:hAnsi="Times New Roman"/>
          <w:sz w:val="20"/>
          <w:szCs w:val="20"/>
          <w:u w:val="single" w:color="auto"/>
          <w:color w:val="212121"/>
        </w:rPr>
        <w:t>Annual Equity Award</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12121"/>
        </w:rPr>
        <w:t xml:space="preserve"> </w:t>
      </w:r>
      <w:r>
        <w:rPr>
          <w:rFonts w:ascii="Times New Roman" w:cs="Times New Roman" w:eastAsia="Times New Roman" w:hAnsi="Times New Roman"/>
          <w:sz w:val="20"/>
          <w:szCs w:val="20"/>
          <w:color w:val="000000"/>
        </w:rPr>
        <w:t>Board or the Committee shall determine in its sole discretion the grant timing, amount, form(s) and mix, and such other terms and conditions, applicable to any such Annual Equity Award</w:t>
      </w:r>
      <w:r>
        <w:rPr>
          <w:rFonts w:ascii="Times New Roman" w:cs="Times New Roman" w:eastAsia="Times New Roman" w:hAnsi="Times New Roman"/>
          <w:sz w:val="20"/>
          <w:szCs w:val="20"/>
          <w:color w:val="212121"/>
        </w:rPr>
        <w:t>. Each Annual Equity Grant will be subject to the Board’s good faith</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121"/>
        </w:rPr>
        <w:t>determination that there are sufficient shares available under the Plan to make such Annual Equity Award. Except as otherwise specifically provided in this Agreement, each Annual Equity Award shall be governed in all respects by the terms of and conditions of the Plan and the applicable award agreements. Currently, the Company awards annual equity compensation awards on March 1st of each calendar year. The Annual Equity Award for the 2023 performance cycle (the “</w:t>
      </w:r>
      <w:r>
        <w:rPr>
          <w:rFonts w:ascii="Times New Roman" w:cs="Times New Roman" w:eastAsia="Times New Roman" w:hAnsi="Times New Roman"/>
          <w:sz w:val="20"/>
          <w:szCs w:val="20"/>
          <w:u w:val="single" w:color="auto"/>
          <w:color w:val="212121"/>
        </w:rPr>
        <w:t>2023 LTI Award</w:t>
      </w:r>
      <w:r>
        <w:rPr>
          <w:rFonts w:ascii="Times New Roman" w:cs="Times New Roman" w:eastAsia="Times New Roman" w:hAnsi="Times New Roman"/>
          <w:sz w:val="20"/>
          <w:szCs w:val="20"/>
          <w:color w:val="212121"/>
        </w:rPr>
        <w:t>”) shall be granted in the form of 1,000,000 restricted stock units and 400,000 stock options,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357505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333" w:right="459" w:bottom="1440" w:gutter="0" w:footer="0" w:header="0"/>
        </w:sectPr>
      </w:pPr>
    </w:p>
    <w:bookmarkStart w:id="90" w:name="page91"/>
    <w:bookmarkEnd w:id="90"/>
    <w:p>
      <w:pPr>
        <w:ind w:left="747"/>
        <w:spacing w:after="0"/>
        <w:rPr>
          <w:sz w:val="20"/>
          <w:szCs w:val="20"/>
          <w:color w:val="auto"/>
        </w:rPr>
      </w:pPr>
      <w:r>
        <w:rPr>
          <w:rFonts w:ascii="Times New Roman" w:cs="Times New Roman" w:eastAsia="Times New Roman" w:hAnsi="Times New Roman"/>
          <w:sz w:val="20"/>
          <w:szCs w:val="20"/>
          <w:color w:val="212121"/>
        </w:rPr>
        <w:t>be granted on the same date that the Initial Grant is made, however the 2023 LTI Award will not start vesting until March of</w:t>
      </w:r>
    </w:p>
    <w:p>
      <w:pPr>
        <w:spacing w:after="0" w:line="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212121"/>
        </w:rPr>
        <w:t>2024.</w:t>
      </w:r>
    </w:p>
    <w:p>
      <w:pPr>
        <w:spacing w:after="0" w:line="221" w:lineRule="exact"/>
        <w:rPr>
          <w:sz w:val="20"/>
          <w:szCs w:val="20"/>
          <w:color w:val="auto"/>
        </w:rPr>
      </w:pPr>
    </w:p>
    <w:p>
      <w:pPr>
        <w:jc w:val="both"/>
        <w:ind w:left="7" w:hanging="7"/>
        <w:spacing w:after="0" w:line="245" w:lineRule="auto"/>
        <w:tabs>
          <w:tab w:leader="none" w:pos="7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Expenses</w:t>
      </w:r>
      <w:r>
        <w:rPr>
          <w:rFonts w:ascii="Times New Roman" w:cs="Times New Roman" w:eastAsia="Times New Roman" w:hAnsi="Times New Roman"/>
          <w:sz w:val="20"/>
          <w:szCs w:val="20"/>
          <w:color w:val="auto"/>
        </w:rPr>
        <w:t>. During your employment, you will be entitled to the benefits generally made available to other senior executives of the Company as summarized in the Company's Benefits Overview. The Company reserves the right to adjust its benefits program from time to time as the Company sees fit. During your employment, you will be authorized to incur reasonable business expenses in carrying out your duties and responsibilities to the Company. You will be promptly reimbursed for all reasonable out-of-pocket business expenses incurred and paid by you in connection with your duties to the Company, subject to and in accordance with the Company’s expense reimbursement policy as in effect from time to time.</w:t>
      </w:r>
    </w:p>
    <w:p>
      <w:pPr>
        <w:spacing w:after="0" w:line="197" w:lineRule="exact"/>
        <w:rPr>
          <w:rFonts w:ascii="Times New Roman" w:cs="Times New Roman" w:eastAsia="Times New Roman" w:hAnsi="Times New Roman"/>
          <w:sz w:val="20"/>
          <w:szCs w:val="20"/>
          <w:color w:val="auto"/>
        </w:rPr>
      </w:pPr>
    </w:p>
    <w:p>
      <w:pPr>
        <w:jc w:val="both"/>
        <w:ind w:left="7" w:right="20" w:hanging="7"/>
        <w:spacing w:after="0" w:line="254" w:lineRule="auto"/>
        <w:tabs>
          <w:tab w:leader="none" w:pos="74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Talkspace Office Location</w:t>
      </w:r>
      <w:r>
        <w:rPr>
          <w:rFonts w:ascii="Times New Roman" w:cs="Times New Roman" w:eastAsia="Times New Roman" w:hAnsi="Times New Roman"/>
          <w:sz w:val="20"/>
          <w:szCs w:val="20"/>
          <w:color w:val="auto"/>
        </w:rPr>
        <w:t>: Currently, the Company acts as a primarily remote company within the US geographic borders. As part of your employment duties, you will be expected to use the NYC office as your corporate base on an as needed basis, travel to and attend Board meetings, Senior Management meetings/offsites and investor/customer call meetings as may occur from time to time.</w:t>
      </w:r>
    </w:p>
    <w:p>
      <w:pPr>
        <w:spacing w:after="0" w:line="201" w:lineRule="exact"/>
        <w:rPr>
          <w:rFonts w:ascii="Times New Roman" w:cs="Times New Roman" w:eastAsia="Times New Roman" w:hAnsi="Times New Roman"/>
          <w:sz w:val="20"/>
          <w:szCs w:val="20"/>
          <w:color w:val="auto"/>
        </w:rPr>
      </w:pPr>
    </w:p>
    <w:p>
      <w:pPr>
        <w:jc w:val="both"/>
        <w:ind w:left="7" w:hanging="7"/>
        <w:spacing w:after="0" w:line="245" w:lineRule="auto"/>
        <w:tabs>
          <w:tab w:leader="none" w:pos="7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12121"/>
        </w:rPr>
        <w:t>Executive Severance Plan</w:t>
      </w:r>
      <w:r>
        <w:rPr>
          <w:rFonts w:ascii="Times New Roman" w:cs="Times New Roman" w:eastAsia="Times New Roman" w:hAnsi="Times New Roman"/>
          <w:sz w:val="20"/>
          <w:szCs w:val="20"/>
          <w:color w:val="212121"/>
        </w:rPr>
        <w:t>. Effective as of the Start Date, you shall be a Tier 1 participant in the Talkspace, Inc. Executive Severance Plan (the “</w:t>
      </w:r>
      <w:r>
        <w:rPr>
          <w:rFonts w:ascii="Times New Roman" w:cs="Times New Roman" w:eastAsia="Times New Roman" w:hAnsi="Times New Roman"/>
          <w:sz w:val="20"/>
          <w:szCs w:val="20"/>
          <w:b w:val="1"/>
          <w:bCs w:val="1"/>
          <w:color w:val="212121"/>
        </w:rPr>
        <w:t>Severance Plan</w:t>
      </w:r>
      <w:r>
        <w:rPr>
          <w:rFonts w:ascii="Times New Roman" w:cs="Times New Roman" w:eastAsia="Times New Roman" w:hAnsi="Times New Roman"/>
          <w:sz w:val="20"/>
          <w:szCs w:val="20"/>
          <w:color w:val="212121"/>
        </w:rPr>
        <w:t xml:space="preserve">”), a copy of which is attached hereto as </w:t>
      </w:r>
      <w:r>
        <w:rPr>
          <w:rFonts w:ascii="Times New Roman" w:cs="Times New Roman" w:eastAsia="Times New Roman" w:hAnsi="Times New Roman"/>
          <w:sz w:val="20"/>
          <w:szCs w:val="20"/>
          <w:b w:val="1"/>
          <w:bCs w:val="1"/>
          <w:u w:val="single" w:color="auto"/>
          <w:color w:val="212121"/>
        </w:rPr>
        <w:t>Exhibit A</w:t>
      </w:r>
      <w:r>
        <w:rPr>
          <w:rFonts w:ascii="Times New Roman" w:cs="Times New Roman" w:eastAsia="Times New Roman" w:hAnsi="Times New Roman"/>
          <w:sz w:val="20"/>
          <w:szCs w:val="20"/>
          <w:color w:val="212121"/>
        </w:rPr>
        <w:t>. Notwithstanding anything in the Severance Plan to the contrary, in the event you experience a Qualifying Termination (other than a CIC Termination) following the first anniversary of the Start Date, you will vest in a number of restricted stock units and stock options underlying the Initial Grant that you would have otherwise vested in had you remained employed by the Company for the 12-month period immediately following your termination date, subject to your compliance with all other terms and conditions of the Severance Plan and this Agreement.</w:t>
      </w:r>
    </w:p>
    <w:p>
      <w:pPr>
        <w:spacing w:after="0" w:line="238" w:lineRule="exact"/>
        <w:rPr>
          <w:rFonts w:ascii="Times New Roman" w:cs="Times New Roman" w:eastAsia="Times New Roman" w:hAnsi="Times New Roman"/>
          <w:sz w:val="20"/>
          <w:szCs w:val="20"/>
          <w:color w:val="auto"/>
        </w:rPr>
      </w:pPr>
    </w:p>
    <w:p>
      <w:pPr>
        <w:jc w:val="both"/>
        <w:ind w:left="7" w:hanging="7"/>
        <w:spacing w:after="0" w:line="246" w:lineRule="auto"/>
        <w:tabs>
          <w:tab w:leader="none" w:pos="7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212121"/>
        </w:rPr>
        <w:t>Termination Prior to the Start Date</w:t>
      </w:r>
      <w:r>
        <w:rPr>
          <w:rFonts w:ascii="Times New Roman" w:cs="Times New Roman" w:eastAsia="Times New Roman" w:hAnsi="Times New Roman"/>
          <w:sz w:val="20"/>
          <w:szCs w:val="20"/>
          <w:color w:val="212121"/>
        </w:rPr>
        <w:t xml:space="preserve">. In the event that, prior to the State Date, the Board determines that you have engaged in any activity that would constitute "Cause" (as defined under the Severance Plan) or you otherwise engage in activity that could bring financial or reputational harm or damage to you or the Company, this Agreement shall be void </w:t>
      </w:r>
      <w:r>
        <w:rPr>
          <w:rFonts w:ascii="Times New Roman" w:cs="Times New Roman" w:eastAsia="Times New Roman" w:hAnsi="Times New Roman"/>
          <w:sz w:val="20"/>
          <w:szCs w:val="20"/>
          <w:i w:val="1"/>
          <w:iCs w:val="1"/>
          <w:color w:val="212121"/>
        </w:rPr>
        <w:t>ab initio</w:t>
      </w:r>
      <w:r>
        <w:rPr>
          <w:rFonts w:ascii="Times New Roman" w:cs="Times New Roman" w:eastAsia="Times New Roman" w:hAnsi="Times New Roman"/>
          <w:sz w:val="20"/>
          <w:szCs w:val="20"/>
          <w:color w:val="212121"/>
        </w:rPr>
        <w:t>, and the Company will have no obligations to you hereunder. In the event that your employment does not commence on the Start Date for any reason, you shall continue to be bound by the obligations set forth in paragraphs 2 and 6 of the Restrictive Covenant Agreement (as defined below).</w:t>
      </w:r>
    </w:p>
    <w:p>
      <w:pPr>
        <w:spacing w:after="0" w:line="238" w:lineRule="exact"/>
        <w:rPr>
          <w:rFonts w:ascii="Times New Roman" w:cs="Times New Roman" w:eastAsia="Times New Roman" w:hAnsi="Times New Roman"/>
          <w:sz w:val="20"/>
          <w:szCs w:val="20"/>
          <w:color w:val="auto"/>
        </w:rPr>
      </w:pPr>
    </w:p>
    <w:p>
      <w:pPr>
        <w:jc w:val="both"/>
        <w:ind w:left="7" w:hanging="7"/>
        <w:spacing w:after="0" w:line="242" w:lineRule="auto"/>
        <w:tabs>
          <w:tab w:leader="none" w:pos="7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Employment; Restrictive Covenant Agreement</w:t>
      </w:r>
      <w:r>
        <w:rPr>
          <w:rFonts w:ascii="Times New Roman" w:cs="Times New Roman" w:eastAsia="Times New Roman" w:hAnsi="Times New Roman"/>
          <w:sz w:val="20"/>
          <w:szCs w:val="20"/>
          <w:color w:val="auto"/>
        </w:rPr>
        <w:t xml:space="preserve">. As a condition of your employment, you are required to review and sign the Invention, Non-Disclosure, Non-Competition and Non-Solicitation Agreement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Restrictive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Covenant Agreement</w:t>
      </w:r>
      <w:r>
        <w:rPr>
          <w:rFonts w:ascii="Times New Roman" w:cs="Times New Roman" w:eastAsia="Times New Roman" w:hAnsi="Times New Roman"/>
          <w:sz w:val="20"/>
          <w:szCs w:val="20"/>
          <w:color w:val="auto"/>
        </w:rPr>
        <w:t>”). By signing this Agreement, you acknowledge that the Company will suffer irreparable injury in the event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breach any of the covenants contained in the Restrictive Covenant Agreement, and agree that the Company shall be entitled to injunctive relief or a declaratory judgment from a court of competent jurisdiction, without the necessity of posting any bond or proof of damages, to restrain my breach the Restrictive Covenant Agreement (including any anticipated breach), in addition to any other available remedies, including the cessation, forfeiture, repayment or cancellation of any payment or benefit under the Severance Plan or the Talkspace, Inc. 2021 Incentive Award Plan or successor plan (including the cancellation of any outstanding vested or unvested equity-based awards for no consideration therefor), and the Company shall further be entitled to recover the reasonable costs and attorney’s fees incurred in seeking relief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354965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333" w:right="459" w:bottom="1440" w:gutter="0" w:footer="0" w:header="0"/>
        </w:sectPr>
      </w:pPr>
    </w:p>
    <w:bookmarkStart w:id="91" w:name="page92"/>
    <w:bookmarkEnd w:id="91"/>
    <w:p>
      <w:pPr>
        <w:jc w:val="both"/>
        <w:ind w:left="7"/>
        <w:spacing w:after="0" w:line="249" w:lineRule="auto"/>
        <w:rPr>
          <w:sz w:val="20"/>
          <w:szCs w:val="20"/>
          <w:color w:val="auto"/>
        </w:rPr>
      </w:pPr>
      <w:r>
        <w:rPr>
          <w:rFonts w:ascii="Times New Roman" w:cs="Times New Roman" w:eastAsia="Times New Roman" w:hAnsi="Times New Roman"/>
          <w:sz w:val="20"/>
          <w:szCs w:val="20"/>
          <w:color w:val="auto"/>
        </w:rPr>
        <w:t>You shall at all applicable times be bound by all other Company policies, including the Company’s Employee Handbook, Code of Business Conduct and Ethics, the Company’s Clawback Policy, and the Company’s Insider Trading Policy. You will also be required to complete applicable immigration, payroll and tax forms, and to provide documentation of your eligibility to work in the United States, as required by the Immigration Reform and Control Act of 1986.</w:t>
      </w:r>
    </w:p>
    <w:p>
      <w:pPr>
        <w:spacing w:after="0" w:line="234" w:lineRule="exact"/>
        <w:rPr>
          <w:sz w:val="20"/>
          <w:szCs w:val="20"/>
          <w:color w:val="auto"/>
        </w:rPr>
      </w:pPr>
    </w:p>
    <w:p>
      <w:pPr>
        <w:jc w:val="both"/>
        <w:ind w:left="7" w:hanging="7"/>
        <w:spacing w:after="0" w:line="246" w:lineRule="auto"/>
        <w:tabs>
          <w:tab w:leader="none" w:pos="7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Your employment with the Company is for no specified period and constitutes "at-will" employment in that it can be terminated with or without cause, and with or without notice, at any time, at the option of either the Company or yourself, except as otherwise provided by law. Similarly, nothing in this Agreement shall be construed as an agreement, either express or implied, to pay you any compensation or grant you any benefit beyond the end of your employment with the Company other than your participation in the Severance Plan provided under Section 9.</w:t>
      </w:r>
    </w:p>
    <w:p>
      <w:pPr>
        <w:spacing w:after="0" w:line="211" w:lineRule="exact"/>
        <w:rPr>
          <w:rFonts w:ascii="Times New Roman" w:cs="Times New Roman" w:eastAsia="Times New Roman" w:hAnsi="Times New Roman"/>
          <w:sz w:val="20"/>
          <w:szCs w:val="20"/>
          <w:color w:val="auto"/>
        </w:rPr>
      </w:pPr>
    </w:p>
    <w:p>
      <w:pPr>
        <w:ind w:left="7" w:hanging="7"/>
        <w:spacing w:after="0" w:line="269" w:lineRule="auto"/>
        <w:tabs>
          <w:tab w:leader="none" w:pos="7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along with the Restrictive Covenant Agreement and the Severance Plan, set forth the terms of your employment with the Company and supersede any prior representations or agreements whether written or oral.</w:t>
      </w:r>
    </w:p>
    <w:p>
      <w:pPr>
        <w:spacing w:after="0" w:line="186"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7" w:hanging="7"/>
        <w:spacing w:after="0" w:line="246" w:lineRule="auto"/>
        <w:tabs>
          <w:tab w:leader="none" w:pos="7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interpretation, enforceability, and performance of this Agreement shall be governed by and construed in accordance with the laws of the State of Delaware, without giving effect to conflict of laws provisions thereof. Each party hereto hereby consents to the personal and exclusive jurisdiction and venue of the courts of the State of New York and expressly waives any claim of improper venue and any claim that such courts are an inconvenient forum. By your acceptance of this Agreement, you agree to submit to the jurisdiction of such courts.</w:t>
      </w:r>
    </w:p>
    <w:p>
      <w:pPr>
        <w:spacing w:after="0" w:line="211" w:lineRule="exact"/>
        <w:rPr>
          <w:rFonts w:ascii="Times New Roman" w:cs="Times New Roman" w:eastAsia="Times New Roman" w:hAnsi="Times New Roman"/>
          <w:sz w:val="20"/>
          <w:szCs w:val="20"/>
          <w:color w:val="auto"/>
        </w:rPr>
      </w:pPr>
    </w:p>
    <w:p>
      <w:pPr>
        <w:jc w:val="both"/>
        <w:ind w:left="7" w:hanging="7"/>
        <w:spacing w:after="0" w:line="254" w:lineRule="auto"/>
        <w:tabs>
          <w:tab w:leader="none" w:pos="7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represent that you are not bound by any employment contract, restrictive covenant or other restriction preventing you from entering into employment with or carrying out your responsibilities for the Company, or which is in any way inconsistent with the terms of this Agreement.</w:t>
      </w:r>
    </w:p>
    <w:p>
      <w:pPr>
        <w:spacing w:after="0" w:line="187" w:lineRule="exact"/>
        <w:rPr>
          <w:rFonts w:ascii="Times New Roman" w:cs="Times New Roman" w:eastAsia="Times New Roman" w:hAnsi="Times New Roman"/>
          <w:sz w:val="20"/>
          <w:szCs w:val="20"/>
          <w:color w:val="auto"/>
        </w:rPr>
      </w:pPr>
    </w:p>
    <w:p>
      <w:pPr>
        <w:ind w:left="747" w:hanging="747"/>
        <w:spacing w:after="0"/>
        <w:tabs>
          <w:tab w:leader="none" w:pos="74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only be amended or modified by written agreement signed by each of the parties hereto.</w:t>
      </w:r>
    </w:p>
    <w:p>
      <w:pPr>
        <w:spacing w:after="0" w:line="242" w:lineRule="exact"/>
        <w:rPr>
          <w:rFonts w:ascii="Times New Roman" w:cs="Times New Roman" w:eastAsia="Times New Roman" w:hAnsi="Times New Roman"/>
          <w:sz w:val="20"/>
          <w:szCs w:val="20"/>
          <w:color w:val="auto"/>
        </w:rPr>
      </w:pPr>
    </w:p>
    <w:p>
      <w:pPr>
        <w:jc w:val="both"/>
        <w:ind w:left="7" w:right="20" w:hanging="7"/>
        <w:spacing w:after="0" w:line="249" w:lineRule="auto"/>
        <w:tabs>
          <w:tab w:leader="none" w:pos="74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provide adequate directors and officers insurance coverage to you, and to defend and indemnify you in relation to any matters now pending or brought in the future against you, as a result of your acts or omissions relating to your employment with the Company or to your prior service as a Director of the Company. This duty includes the duty to provide and pay for counsel of your choosing.</w:t>
      </w:r>
    </w:p>
    <w:p>
      <w:pPr>
        <w:spacing w:after="0" w:line="207" w:lineRule="exact"/>
        <w:rPr>
          <w:sz w:val="20"/>
          <w:szCs w:val="20"/>
          <w:color w:val="auto"/>
        </w:rPr>
      </w:pPr>
    </w:p>
    <w:p>
      <w:pPr>
        <w:jc w:val="both"/>
        <w:ind w:left="7" w:right="20"/>
        <w:spacing w:after="0" w:line="254" w:lineRule="auto"/>
        <w:rPr>
          <w:sz w:val="20"/>
          <w:szCs w:val="20"/>
          <w:color w:val="auto"/>
        </w:rPr>
      </w:pPr>
      <w:r>
        <w:rPr>
          <w:rFonts w:ascii="Times New Roman" w:cs="Times New Roman" w:eastAsia="Times New Roman" w:hAnsi="Times New Roman"/>
          <w:sz w:val="20"/>
          <w:szCs w:val="20"/>
          <w:color w:val="auto"/>
        </w:rPr>
        <w:t>If you agree with and accept the terms of this Agreement, please sign below and return this Agreement to me. We ask that you please return this Agreement within ten business days, otherwise this offer of employment will expire; however, if you need additional time to consider, please contact us. We look forward to having you join Talkspace.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781050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562" w:right="45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Douglas Braunstein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Douglas Braunstein Chairman of the Board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Talkspace Inc.</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 AND ACCEPTED BY:</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Jon R. Cohen</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Jon R. Cohen</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507365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846"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820" w:type="dxa"/>
            <w:vAlign w:val="bottom"/>
            <w:gridSpan w:val="3"/>
          </w:tcPr>
          <w:p>
            <w:pPr>
              <w:ind w:left="1080"/>
              <w:spacing w:after="0"/>
              <w:rPr>
                <w:sz w:val="20"/>
                <w:szCs w:val="20"/>
                <w:color w:val="auto"/>
              </w:rPr>
            </w:pPr>
            <w:r>
              <w:rPr>
                <w:rFonts w:ascii="Times New Roman" w:cs="Times New Roman" w:eastAsia="Times New Roman" w:hAnsi="Times New Roman"/>
                <w:sz w:val="20"/>
                <w:szCs w:val="20"/>
                <w:b w:val="1"/>
                <w:bCs w:val="1"/>
                <w:color w:val="auto"/>
              </w:rPr>
              <w:t>Subsidiaries of Talkspace, Inc.</w:t>
            </w:r>
          </w:p>
        </w:tc>
      </w:tr>
      <w:tr>
        <w:trPr>
          <w:trHeight w:val="258"/>
        </w:trPr>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820" w:type="dxa"/>
            <w:vAlign w:val="bottom"/>
            <w:gridSpan w:val="3"/>
          </w:tcPr>
          <w:p>
            <w:pPr>
              <w:ind w:left="1340"/>
              <w:spacing w:after="0"/>
              <w:rPr>
                <w:sz w:val="20"/>
                <w:szCs w:val="20"/>
                <w:color w:val="auto"/>
              </w:rPr>
            </w:pPr>
            <w:r>
              <w:rPr>
                <w:rFonts w:ascii="Times New Roman" w:cs="Times New Roman" w:eastAsia="Times New Roman" w:hAnsi="Times New Roman"/>
                <w:sz w:val="20"/>
                <w:szCs w:val="20"/>
                <w:color w:val="auto"/>
              </w:rPr>
              <w:t>As of December 31, 2022</w:t>
            </w:r>
          </w:p>
        </w:tc>
      </w:tr>
      <w:tr>
        <w:trPr>
          <w:trHeight w:val="669"/>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Legal Name</w:t>
            </w:r>
          </w:p>
        </w:tc>
        <w:tc>
          <w:tcPr>
            <w:tcW w:w="2380" w:type="dxa"/>
            <w:vAlign w:val="bottom"/>
          </w:tcPr>
          <w:p>
            <w:pPr>
              <w:spacing w:after="0"/>
              <w:rPr>
                <w:sz w:val="24"/>
                <w:szCs w:val="24"/>
                <w:color w:val="auto"/>
              </w:rPr>
            </w:pP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r>
      <w:tr>
        <w:trPr>
          <w:trHeight w:val="20"/>
        </w:trPr>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Talkspace LLC</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rPr>
              <w:t>Delaware</w:t>
            </w: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Talkspace Network LLC</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rPr>
              <w:t>Delaware</w:t>
            </w:r>
          </w:p>
        </w:tc>
      </w:tr>
      <w:tr>
        <w:trPr>
          <w:trHeight w:val="258"/>
        </w:trPr>
        <w:tc>
          <w:tcPr>
            <w:tcW w:w="20" w:type="dxa"/>
            <w:vAlign w:val="bottom"/>
          </w:tcPr>
          <w:p>
            <w:pPr>
              <w:spacing w:after="0"/>
              <w:rPr>
                <w:sz w:val="22"/>
                <w:szCs w:val="22"/>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Groop Internet Platform LTD</w:t>
            </w:r>
          </w:p>
        </w:tc>
        <w:tc>
          <w:tcPr>
            <w:tcW w:w="7820" w:type="dxa"/>
            <w:vAlign w:val="bottom"/>
            <w:gridSpan w:val="3"/>
          </w:tcPr>
          <w:p>
            <w:pPr>
              <w:ind w:left="2220"/>
              <w:spacing w:after="0"/>
              <w:rPr>
                <w:sz w:val="20"/>
                <w:szCs w:val="20"/>
                <w:color w:val="auto"/>
              </w:rPr>
            </w:pPr>
            <w:r>
              <w:rPr>
                <w:rFonts w:ascii="Times New Roman" w:cs="Times New Roman" w:eastAsia="Times New Roman" w:hAnsi="Times New Roman"/>
                <w:sz w:val="20"/>
                <w:szCs w:val="20"/>
                <w:color w:val="auto"/>
              </w:rPr>
              <w:t>Israel</w:t>
            </w:r>
          </w:p>
        </w:tc>
      </w:tr>
      <w:tr>
        <w:trPr>
          <w:trHeight w:val="487"/>
        </w:trPr>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ind w:left="9380"/>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of said reports in the following Registration Statements:</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333-257686) of Talkspace, Inc.,</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333-263329) pertaining to the 2014 Stock Incentive Plan, 2021 Incentive Award Plan and 2021 Employee Stock Purchase Plan of Talkspace, Inc.,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333-259165) pertaining to the 2014 Stock Incentive Plan, 2021 Incentive Award Plan and 2021 Employee Stock Purchase Plan of Talkspace, Inc.;</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have issued our reports dated March 10, 2023, with respect to the consolidated financial statements of Talkspace, Inc. and the effectiveness of internal control over financial reporting of Talkspace, Inc. included in this Annual Report (Form 10-K) of Talkspace, Inc. for the year ended December 31, 2022.</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Kost Forer Gabbay &amp; Kasierer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of EY Global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R. Cohen,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2023</w:t>
            </w:r>
          </w:p>
        </w:tc>
        <w:tc>
          <w:tcPr>
            <w:tcW w:w="26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5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0"/>
        </w:trPr>
        <w:tc>
          <w:tcPr>
            <w:tcW w:w="35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2023</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45"/>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2023</w:t>
            </w: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R. Cohen</w:t>
            </w:r>
          </w:p>
        </w:tc>
      </w:tr>
      <w:tr>
        <w:trPr>
          <w:trHeight w:val="205"/>
        </w:trPr>
        <w:tc>
          <w:tcPr>
            <w:tcW w:w="3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Jon R. Cohen</w:t>
            </w:r>
          </w:p>
        </w:tc>
      </w:tr>
      <w:tr>
        <w:trPr>
          <w:trHeight w:val="234"/>
        </w:trPr>
        <w:tc>
          <w:tcPr>
            <w:tcW w:w="34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44"/>
        </w:trPr>
        <w:tc>
          <w:tcPr>
            <w:tcW w:w="34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Talkspace, Inc. (the “Company”) for the year ended December 31, 2022,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2023</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Jennifer Fulk</w:t>
            </w:r>
          </w:p>
        </w:tc>
      </w:tr>
      <w:tr>
        <w:trPr>
          <w:trHeight w:val="205"/>
        </w:trPr>
        <w:tc>
          <w:tcPr>
            <w:tcW w:w="35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Jennifer Fulk</w:t>
            </w:r>
          </w:p>
        </w:tc>
      </w:tr>
      <w:tr>
        <w:trPr>
          <w:trHeight w:val="234"/>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61"/>
        </w:trPr>
        <w:tc>
          <w:tcPr>
            <w:tcW w:w="35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lowerLetter"/>
      <w:start w:val="1"/>
    </w:lvl>
    <w:lvl w:ilvl="1">
      <w:lvlJc w:val="left"/>
      <w:lvlText w:val="(%2)"/>
      <w:numFmt w:val="decimal"/>
      <w:start w:val="3"/>
    </w:lvl>
  </w:abstractNum>
  <w:abstractNum w:abstractNumId="25">
    <w:nsid w:val="22221A70"/>
    <w:multiLevelType w:val="hybridMultilevel"/>
    <w:lvl w:ilvl="0">
      <w:lvlJc w:val="left"/>
      <w:lvlText w:val="(%1)"/>
      <w:numFmt w:val="lowerLetter"/>
      <w:start w:val="2"/>
    </w:lvl>
    <w:lvl w:ilvl="1">
      <w:lvlJc w:val="left"/>
      <w:lvlText w:val="%2"/>
      <w:numFmt w:val="decimal"/>
      <w:start w:val="1"/>
    </w:lvl>
  </w:abstractNum>
  <w:abstractNum w:abstractNumId="26">
    <w:nsid w:val="4516DDE9"/>
    <w:multiLevelType w:val="hybridMultilevel"/>
    <w:lvl w:ilvl="0">
      <w:lvlJc w:val="left"/>
      <w:lvlText w:val="(%1)"/>
      <w:numFmt w:val="lowerLetter"/>
      <w:start w:val="3"/>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3"/>
    </w:lvl>
  </w:abstractNum>
  <w:abstractNum w:abstractNumId="30">
    <w:nsid w:val="5577F8E1"/>
    <w:multiLevelType w:val="hybridMultilevel"/>
    <w:lvl w:ilvl="0">
      <w:lvlJc w:val="left"/>
      <w:lvlText w:val="%1."/>
      <w:numFmt w:val="decimal"/>
      <w:start w:val="6"/>
    </w:lvl>
  </w:abstractNum>
  <w:abstractNum w:abstractNumId="31">
    <w:nsid w:val="440BADFC"/>
    <w:multiLevelType w:val="hybridMultilevel"/>
    <w:lvl w:ilvl="0">
      <w:lvlJc w:val="left"/>
      <w:lvlText w:val="%1."/>
      <w:numFmt w:val="decimal"/>
      <w:start w:val="7"/>
    </w:lvl>
  </w:abstractNum>
  <w:abstractNum w:abstractNumId="32">
    <w:nsid w:val="5072367"/>
    <w:multiLevelType w:val="hybridMultilevel"/>
    <w:lvl w:ilvl="0">
      <w:lvlJc w:val="left"/>
      <w:lvlText w:val="%1."/>
      <w:numFmt w:val="decimal"/>
      <w:start w:val="12"/>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jpe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288" Type="http://schemas.openxmlformats.org/officeDocument/2006/relationships/hyperlink" Target="https://www.sec.gov/Archives/edgar/data/1803901/000119312521025013/d119648ds4.htm#rom119648_45" TargetMode="External"/><Relationship Id="rId289" Type="http://schemas.openxmlformats.org/officeDocument/2006/relationships/hyperlink" Target="https://www.sec.gov/Archives/edgar/data/1803901/000119312521197385/d182715dex31.htm" TargetMode="External"/><Relationship Id="rId290" Type="http://schemas.openxmlformats.org/officeDocument/2006/relationships/hyperlink" Target="https://www.sec.gov/Archives/edgar/data/1803901/000119312521197385/d182715dex32.htm" TargetMode="External"/><Relationship Id="rId291" Type="http://schemas.openxmlformats.org/officeDocument/2006/relationships/hyperlink" Target="https://www.sec.gov/Archives/edgar/data/0001803901/000119312520166711/d937996dex41.htm" TargetMode="External"/><Relationship Id="rId292" Type="http://schemas.openxmlformats.org/officeDocument/2006/relationships/hyperlink" Target="https://www.sec.gov/Archives/edgar/data/0001803901/000119312520161434/d846732dex43.htm" TargetMode="External"/><Relationship Id="rId293" Type="http://schemas.openxmlformats.org/officeDocument/2006/relationships/hyperlink" Target="https://www.sec.gov/Archives/edgar/data/0001803901/000119312521167533/d119648dex45.htm" TargetMode="External"/><Relationship Id="rId294" Type="http://schemas.openxmlformats.org/officeDocument/2006/relationships/hyperlink" Target="https://www.sec.gov/Archives/edgar/data/1803901/000095017022002102/talk-ex4_4.htm" TargetMode="External"/><Relationship Id="rId295" Type="http://schemas.openxmlformats.org/officeDocument/2006/relationships/hyperlink" Target="https://www.sec.gov/Archives/edgar/data/0001803901/000119312521260654/d552255dex991.htm" TargetMode="External"/><Relationship Id="rId296" Type="http://schemas.openxmlformats.org/officeDocument/2006/relationships/hyperlink" Target="https://www.sec.gov/Archives/edgar/data/0001803901/000119312521260654/d552255dex992.htm" TargetMode="External"/><Relationship Id="rId297" Type="http://schemas.openxmlformats.org/officeDocument/2006/relationships/hyperlink" Target="https://www.sec.gov/Archives/edgar/data/0001803901/000119312521260654/d552255dex993.htm" TargetMode="External"/><Relationship Id="rId298" Type="http://schemas.openxmlformats.org/officeDocument/2006/relationships/hyperlink" Target="https://www.sec.gov/Archives/edgar/data/0001803901/000119312521197353/d136958dex101.htm" TargetMode="External"/><Relationship Id="rId299" Type="http://schemas.openxmlformats.org/officeDocument/2006/relationships/hyperlink" Target="https://www.sec.gov/Archives/edgar/data/0001803901/000119312521197353/d136958dex102.htm" TargetMode="External"/><Relationship Id="rId300" Type="http://schemas.openxmlformats.org/officeDocument/2006/relationships/hyperlink" Target="https://www.sec.gov/Archives/edgar/data/0001803901/000119312521197353/d136958dex103.htm" TargetMode="External"/><Relationship Id="rId301" Type="http://schemas.openxmlformats.org/officeDocument/2006/relationships/hyperlink" Target="https://www.sec.gov/Archives/edgar/data/0001803901/000119312521197353/d136958dex107a.htm" TargetMode="External"/><Relationship Id="rId302" Type="http://schemas.openxmlformats.org/officeDocument/2006/relationships/hyperlink" Target="https://www.sec.gov/Archives/edgar/data/0001803901/000119312521197353/d136958dex107b.htm" TargetMode="External"/><Relationship Id="rId303" Type="http://schemas.openxmlformats.org/officeDocument/2006/relationships/hyperlink" Target="https://www.sec.gov/Archives/edgar/data/0001803901/000119312521197353/d136958dex109.htm" TargetMode="External"/><Relationship Id="rId304" Type="http://schemas.openxmlformats.org/officeDocument/2006/relationships/hyperlink" Target="https://www.sec.gov/Archives/edgar/data/0001803901/000119312521106573/d119648dex1019.htm" TargetMode="External"/><Relationship Id="rId305" Type="http://schemas.openxmlformats.org/officeDocument/2006/relationships/hyperlink" Target="https://www.sec.gov/Archives/edgar/data/0001803901/000095017021001074/talk-20210630ex10_14.htm" TargetMode="External"/><Relationship Id="rId306" Type="http://schemas.openxmlformats.org/officeDocument/2006/relationships/hyperlink" Target="https://www.sec.gov/Archives/edgar/data/0001803901/000095017021005127/talk-ex10_1.htm" TargetMode="External"/><Relationship Id="rId307" Type="http://schemas.openxmlformats.org/officeDocument/2006/relationships/hyperlink" Target="https://www.sec.gov/Archives/edgar/data/1803901/000095017022002102/talk-ex10_16.htm" TargetMode="External"/><Relationship Id="rId308" Type="http://schemas.openxmlformats.org/officeDocument/2006/relationships/hyperlink" Target="https://www.sec.gov/Archives/edgar/data/1803901/000095017022002102/talk-ex10_17.htm" TargetMode="External"/><Relationship Id="rId309" Type="http://schemas.openxmlformats.org/officeDocument/2006/relationships/hyperlink" Target="https://www.sec.gov/Archives/edgar/data/1803901/000095017022002102/talk-ex10_18.htm" TargetMode="External"/><Relationship Id="rId310" Type="http://schemas.openxmlformats.org/officeDocument/2006/relationships/hyperlink" Target="https://www.sec.gov/Archives/edgar/data/1803901/000095017022002102/talk-ex10_19.htm" TargetMode="External"/><Relationship Id="rId311" Type="http://schemas.openxmlformats.org/officeDocument/2006/relationships/hyperlink" Target="https://www.sec.gov/Archives/edgar/data/1803901/000095017022002102/talk-ex10_20.htm" TargetMode="External"/><Relationship Id="rId312" Type="http://schemas.openxmlformats.org/officeDocument/2006/relationships/hyperlink" Target="https://www.sec.gov/Archives/edgar/data/1803901/000095017022002102/talk-ex10_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2023-03-10T07:33:06Z</dcterms:created>
  <dcterms:modified xsi:type="dcterms:W3CDTF">2023-03-10T07:33:06Z</dcterms:modified>
</cp:coreProperties>
</file>