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sz w:val="24"/>
          <w:szCs w:val="24"/>
          <w:color w:val="auto"/>
        </w:rPr>
      </w:pPr>
    </w:p>
    <w:p>
      <w:pPr>
        <w:ind w:left="366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TALKSPACE, INC.</w:t>
      </w:r>
    </w:p>
    <w:p>
      <w:pPr>
        <w:sectPr>
          <w:pgSz w:w="11900" w:h="16838" w:orient="portrait"/>
          <w:cols w:equalWidth="0" w:num="1">
            <w:col w:w="11240"/>
          </w:cols>
          <w:pgMar w:left="320" w:top="233" w:right="339" w:bottom="1440" w:gutter="0" w:footer="0" w:header="0"/>
        </w:sectPr>
      </w:pPr>
    </w:p>
    <w:p>
      <w:pPr>
        <w:spacing w:after="0" w:line="20"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84-4636604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9" w:lineRule="exact"/>
        <w:rPr>
          <w:sz w:val="24"/>
          <w:szCs w:val="24"/>
          <w:color w:val="auto"/>
        </w:rPr>
      </w:pPr>
    </w:p>
    <w:p>
      <w:pPr>
        <w:sectPr>
          <w:pgSz w:w="11900" w:h="16838" w:orient="portrait"/>
          <w:cols w:equalWidth="0" w:num="2">
            <w:col w:w="7460" w:space="480"/>
            <w:col w:w="330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600" w:type="dxa"/>
            <w:vAlign w:val="bottom"/>
          </w:tcPr>
          <w:p>
            <w:pPr>
              <w:jc w:val="center"/>
              <w:ind w:left="1966"/>
              <w:spacing w:after="0"/>
              <w:rPr>
                <w:sz w:val="20"/>
                <w:szCs w:val="20"/>
                <w:color w:val="auto"/>
              </w:rPr>
            </w:pPr>
            <w:r>
              <w:rPr>
                <w:rFonts w:ascii="Arial" w:cs="Arial" w:eastAsia="Arial" w:hAnsi="Arial"/>
                <w:sz w:val="18"/>
                <w:szCs w:val="18"/>
                <w:b w:val="1"/>
                <w:bCs w:val="1"/>
                <w:color w:val="auto"/>
                <w:w w:val="90"/>
              </w:rPr>
              <w:t>Not applicable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60" w:type="dxa"/>
            <w:vAlign w:val="bottom"/>
          </w:tcPr>
          <w:p>
            <w:pPr>
              <w:jc w:val="center"/>
              <w:ind w:right="1387"/>
              <w:spacing w:after="0"/>
              <w:rPr>
                <w:sz w:val="20"/>
                <w:szCs w:val="20"/>
                <w:color w:val="auto"/>
              </w:rPr>
            </w:pPr>
            <w:r>
              <w:rPr>
                <w:rFonts w:ascii="Arial" w:cs="Arial" w:eastAsia="Arial" w:hAnsi="Arial"/>
                <w:sz w:val="18"/>
                <w:szCs w:val="18"/>
                <w:b w:val="1"/>
                <w:bCs w:val="1"/>
                <w:color w:val="auto"/>
                <w:w w:val="89"/>
              </w:rPr>
              <w:t>Not applicable</w:t>
            </w:r>
          </w:p>
        </w:tc>
        <w:tc>
          <w:tcPr>
            <w:tcW w:w="0" w:type="dxa"/>
            <w:vAlign w:val="bottom"/>
          </w:tcPr>
          <w:p>
            <w:pPr>
              <w:spacing w:after="0"/>
              <w:rPr>
                <w:sz w:val="1"/>
                <w:szCs w:val="1"/>
                <w:color w:val="auto"/>
              </w:rPr>
            </w:pPr>
          </w:p>
        </w:tc>
      </w:tr>
      <w:tr>
        <w:trPr>
          <w:trHeight w:val="164"/>
        </w:trPr>
        <w:tc>
          <w:tcPr>
            <w:tcW w:w="7080" w:type="dxa"/>
            <w:vAlign w:val="bottom"/>
            <w:gridSpan w:val="8"/>
          </w:tcPr>
          <w:p>
            <w:pPr>
              <w:jc w:val="center"/>
              <w:ind w:right="144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160" w:type="dxa"/>
            <w:vAlign w:val="bottom"/>
          </w:tcPr>
          <w:p>
            <w:pPr>
              <w:jc w:val="center"/>
              <w:ind w:right="138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39"/>
        </w:trPr>
        <w:tc>
          <w:tcPr>
            <w:tcW w:w="11240" w:type="dxa"/>
            <w:vAlign w:val="bottom"/>
            <w:gridSpan w:val="9"/>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(212) 284-7206</w:t>
            </w:r>
          </w:p>
        </w:tc>
        <w:tc>
          <w:tcPr>
            <w:tcW w:w="0" w:type="dxa"/>
            <w:vAlign w:val="bottom"/>
          </w:tcPr>
          <w:p>
            <w:pPr>
              <w:spacing w:after="0"/>
              <w:rPr>
                <w:sz w:val="1"/>
                <w:szCs w:val="1"/>
                <w:color w:val="auto"/>
              </w:rPr>
            </w:pPr>
          </w:p>
        </w:tc>
      </w:tr>
      <w:tr>
        <w:trPr>
          <w:trHeight w:val="73"/>
        </w:trPr>
        <w:tc>
          <w:tcPr>
            <w:tcW w:w="3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5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600" w:type="dxa"/>
            <w:vAlign w:val="bottom"/>
          </w:tcPr>
          <w:p>
            <w:pPr>
              <w:spacing w:after="0"/>
              <w:rPr>
                <w:sz w:val="19"/>
                <w:szCs w:val="19"/>
                <w:color w:val="auto"/>
              </w:rPr>
            </w:pPr>
          </w:p>
        </w:tc>
        <w:tc>
          <w:tcPr>
            <w:tcW w:w="7640" w:type="dxa"/>
            <w:vAlign w:val="bottom"/>
            <w:gridSpan w:val="8"/>
          </w:tcPr>
          <w:p>
            <w:pPr>
              <w:jc w:val="center"/>
              <w:ind w:right="3527"/>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0" w:type="dxa"/>
            <w:vAlign w:val="bottom"/>
          </w:tcPr>
          <w:p>
            <w:pPr>
              <w:spacing w:after="0"/>
              <w:rPr>
                <w:sz w:val="1"/>
                <w:szCs w:val="1"/>
                <w:color w:val="auto"/>
              </w:rPr>
            </w:pPr>
          </w:p>
        </w:tc>
      </w:tr>
      <w:tr>
        <w:trPr>
          <w:trHeight w:val="174"/>
        </w:trPr>
        <w:tc>
          <w:tcPr>
            <w:tcW w:w="3600" w:type="dxa"/>
            <w:vAlign w:val="bottom"/>
            <w:vMerge w:val="restart"/>
          </w:tcPr>
          <w:p>
            <w:pPr>
              <w:jc w:val="center"/>
              <w:ind w:left="606"/>
              <w:spacing w:after="0"/>
              <w:rPr>
                <w:sz w:val="20"/>
                <w:szCs w:val="20"/>
                <w:color w:val="auto"/>
              </w:rPr>
            </w:pPr>
            <w:r>
              <w:rPr>
                <w:rFonts w:ascii="Arial" w:cs="Arial" w:eastAsia="Arial" w:hAnsi="Arial"/>
                <w:sz w:val="14"/>
                <w:szCs w:val="14"/>
                <w:b w:val="1"/>
                <w:bCs w:val="1"/>
                <w:color w:val="auto"/>
                <w:w w:val="89"/>
              </w:rPr>
              <w:t>Title of each class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7"/>
              </w:rPr>
              <w:t>Trading</w:t>
            </w:r>
          </w:p>
        </w:tc>
        <w:tc>
          <w:tcPr>
            <w:tcW w:w="4160" w:type="dxa"/>
            <w:vAlign w:val="bottom"/>
            <w:vMerge w:val="restart"/>
          </w:tcPr>
          <w:p>
            <w:pPr>
              <w:jc w:val="center"/>
              <w:ind w:right="807"/>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1"/>
              </w:rPr>
              <w:t>Symbol(s)</w:t>
            </w:r>
          </w:p>
        </w:tc>
        <w:tc>
          <w:tcPr>
            <w:tcW w:w="4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600" w:type="dxa"/>
            <w:vAlign w:val="bottom"/>
            <w:tcBorders>
              <w:top w:val="single" w:sz="8" w:color="auto"/>
            </w:tcBorders>
          </w:tcPr>
          <w:p>
            <w:pPr>
              <w:jc w:val="center"/>
              <w:ind w:left="626"/>
              <w:spacing w:after="0" w:line="137" w:lineRule="exact"/>
              <w:rPr>
                <w:sz w:val="20"/>
                <w:szCs w:val="20"/>
                <w:color w:val="auto"/>
              </w:rPr>
            </w:pPr>
            <w:r>
              <w:rPr>
                <w:rFonts w:ascii="Arial" w:cs="Arial" w:eastAsia="Arial" w:hAnsi="Arial"/>
                <w:sz w:val="14"/>
                <w:szCs w:val="14"/>
                <w:color w:val="auto"/>
                <w:w w:val="91"/>
              </w:rPr>
              <w:t>Common stock, par value $0.0001 per share</w:t>
            </w: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right="8"/>
              <w:spacing w:after="0" w:line="137" w:lineRule="exact"/>
              <w:rPr>
                <w:sz w:val="20"/>
                <w:szCs w:val="20"/>
                <w:color w:val="auto"/>
              </w:rPr>
            </w:pPr>
            <w:r>
              <w:rPr>
                <w:rFonts w:ascii="Arial" w:cs="Arial" w:eastAsia="Arial" w:hAnsi="Arial"/>
                <w:sz w:val="14"/>
                <w:szCs w:val="14"/>
                <w:color w:val="auto"/>
              </w:rPr>
              <w:t>TALK</w:t>
            </w:r>
          </w:p>
        </w:tc>
        <w:tc>
          <w:tcPr>
            <w:tcW w:w="120" w:type="dxa"/>
            <w:vAlign w:val="bottom"/>
          </w:tcPr>
          <w:p>
            <w:pPr>
              <w:spacing w:after="0"/>
              <w:rPr>
                <w:sz w:val="11"/>
                <w:szCs w:val="11"/>
                <w:color w:val="auto"/>
              </w:rPr>
            </w:pPr>
          </w:p>
        </w:tc>
        <w:tc>
          <w:tcPr>
            <w:tcW w:w="880" w:type="dxa"/>
            <w:vAlign w:val="bottom"/>
            <w:tcBorders>
              <w:top w:val="single" w:sz="8" w:color="auto"/>
            </w:tcBorders>
            <w:gridSpan w:val="2"/>
          </w:tcPr>
          <w:p>
            <w:pPr>
              <w:spacing w:after="0"/>
              <w:rPr>
                <w:sz w:val="11"/>
                <w:szCs w:val="11"/>
                <w:color w:val="auto"/>
              </w:rPr>
            </w:pPr>
          </w:p>
        </w:tc>
        <w:tc>
          <w:tcPr>
            <w:tcW w:w="4160" w:type="dxa"/>
            <w:vAlign w:val="bottom"/>
            <w:tcBorders>
              <w:top w:val="single" w:sz="8" w:color="auto"/>
            </w:tcBorders>
          </w:tcPr>
          <w:p>
            <w:pPr>
              <w:jc w:val="center"/>
              <w:ind w:right="827"/>
              <w:spacing w:after="0" w:line="137" w:lineRule="exact"/>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182"/>
        </w:trPr>
        <w:tc>
          <w:tcPr>
            <w:tcW w:w="3600" w:type="dxa"/>
            <w:vAlign w:val="bottom"/>
          </w:tcPr>
          <w:p>
            <w:pPr>
              <w:jc w:val="center"/>
              <w:ind w:left="626"/>
              <w:spacing w:after="0"/>
              <w:rPr>
                <w:sz w:val="20"/>
                <w:szCs w:val="20"/>
                <w:color w:val="auto"/>
              </w:rPr>
            </w:pPr>
            <w:r>
              <w:rPr>
                <w:rFonts w:ascii="Arial" w:cs="Arial" w:eastAsia="Arial" w:hAnsi="Arial"/>
                <w:sz w:val="14"/>
                <w:szCs w:val="14"/>
                <w:color w:val="auto"/>
                <w:w w:val="92"/>
              </w:rPr>
              <w:t>Warrants to purchase common stock</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4"/>
          </w:tcPr>
          <w:p>
            <w:pPr>
              <w:jc w:val="center"/>
              <w:ind w:right="1080"/>
              <w:spacing w:after="0"/>
              <w:rPr>
                <w:sz w:val="20"/>
                <w:szCs w:val="20"/>
                <w:color w:val="auto"/>
              </w:rPr>
            </w:pPr>
            <w:r>
              <w:rPr>
                <w:rFonts w:ascii="Arial" w:cs="Arial" w:eastAsia="Arial" w:hAnsi="Arial"/>
                <w:sz w:val="14"/>
                <w:szCs w:val="14"/>
                <w:color w:val="auto"/>
              </w:rPr>
              <w:t>TALKW</w:t>
            </w:r>
          </w:p>
        </w:tc>
        <w:tc>
          <w:tcPr>
            <w:tcW w:w="4160" w:type="dxa"/>
            <w:vAlign w:val="bottom"/>
          </w:tcPr>
          <w:p>
            <w:pPr>
              <w:jc w:val="center"/>
              <w:ind w:right="827"/>
              <w:spacing w:after="0"/>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7640" w:type="dxa"/>
            <w:vAlign w:val="bottom"/>
            <w:gridSpan w:val="8"/>
          </w:tcPr>
          <w:p>
            <w:pPr>
              <w:jc w:val="center"/>
              <w:ind w:right="3527"/>
              <w:spacing w:after="0"/>
              <w:rPr>
                <w:sz w:val="20"/>
                <w:szCs w:val="20"/>
                <w:color w:val="auto"/>
              </w:rPr>
            </w:pPr>
            <w:r>
              <w:rPr>
                <w:rFonts w:ascii="Arial" w:cs="Arial" w:eastAsia="Arial" w:hAnsi="Arial"/>
                <w:sz w:val="14"/>
                <w:szCs w:val="14"/>
                <w:color w:val="auto"/>
                <w:w w:val="93"/>
              </w:rPr>
              <w:t xml:space="preserve">Securities registered pursuant to Section 12(g) of the Act: </w:t>
            </w:r>
            <w:r>
              <w:rPr>
                <w:rFonts w:ascii="Arial" w:cs="Arial" w:eastAsia="Arial" w:hAnsi="Arial"/>
                <w:sz w:val="14"/>
                <w:szCs w:val="14"/>
                <w:b w:val="1"/>
                <w:bCs w:val="1"/>
                <w:color w:val="auto"/>
                <w:w w:val="93"/>
              </w:rPr>
              <w:t>None</w:t>
            </w:r>
          </w:p>
        </w:tc>
        <w:tc>
          <w:tcPr>
            <w:tcW w:w="0" w:type="dxa"/>
            <w:vAlign w:val="bottom"/>
          </w:tcPr>
          <w:p>
            <w:pPr>
              <w:spacing w:after="0"/>
              <w:rPr>
                <w:sz w:val="1"/>
                <w:szCs w:val="1"/>
                <w:color w:val="auto"/>
              </w:rPr>
            </w:pPr>
          </w:p>
        </w:tc>
      </w:tr>
      <w:tr>
        <w:trPr>
          <w:trHeight w:val="222"/>
        </w:trPr>
        <w:tc>
          <w:tcPr>
            <w:tcW w:w="11240" w:type="dxa"/>
            <w:vAlign w:val="bottom"/>
            <w:gridSpan w:val="9"/>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7080" w:type="dxa"/>
            <w:vAlign w:val="bottom"/>
            <w:gridSpan w:val="8"/>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5"/>
              </w:rPr>
              <w:t>☐</w:t>
            </w:r>
          </w:p>
        </w:tc>
        <w:tc>
          <w:tcPr>
            <w:tcW w:w="416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3" w:lineRule="exact"/>
        <w:rPr>
          <w:sz w:val="24"/>
          <w:szCs w:val="24"/>
          <w:color w:val="auto"/>
        </w:rPr>
      </w:pPr>
    </w:p>
    <w:p>
      <w:pPr>
        <w:ind w:right="320"/>
        <w:spacing w:after="0" w:line="273" w:lineRule="auto"/>
        <w:rPr>
          <w:sz w:val="20"/>
          <w:szCs w:val="20"/>
          <w:color w:val="auto"/>
        </w:rPr>
      </w:pPr>
      <w:r>
        <w:rPr>
          <w:rFonts w:ascii="Arial" w:cs="Arial" w:eastAsia="Arial" w:hAnsi="Arial"/>
          <w:sz w:val="14"/>
          <w:szCs w:val="14"/>
          <w:color w:val="auto"/>
        </w:rPr>
        <w:t>The aggregate market value of the voting common stock held by non-affiliates as of the last business day of the registrant’s most recently completed second fiscal quarter was $789.8 million based on the per share closing price of the registrant’s common stock on June 30, 2021 of $8.31.</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February 21, 2022 was 153,973,930.</w:t>
      </w:r>
    </w:p>
    <w:p>
      <w:pPr>
        <w:spacing w:after="0" w:line="82"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ind w:left="20"/>
              <w:spacing w:after="0"/>
              <w:rPr>
                <w:sz w:val="20"/>
                <w:szCs w:val="20"/>
                <w:color w:val="auto"/>
              </w:rPr>
            </w:pPr>
            <w:r>
              <w:rPr>
                <w:rFonts w:ascii="Arial" w:cs="Arial" w:eastAsia="Arial" w:hAnsi="Arial"/>
                <w:sz w:val="14"/>
                <w:szCs w:val="14"/>
                <w:b w:val="1"/>
                <w:bCs w:val="1"/>
                <w:color w:val="auto"/>
              </w:rPr>
              <w:t>Auditor Firm Id:</w:t>
            </w: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1281</w:t>
            </w:r>
          </w:p>
        </w:tc>
        <w:tc>
          <w:tcPr>
            <w:tcW w:w="1520" w:type="dxa"/>
            <w:vAlign w:val="bottom"/>
          </w:tcPr>
          <w:p>
            <w:pPr>
              <w:ind w:left="440"/>
              <w:spacing w:after="0"/>
              <w:rPr>
                <w:sz w:val="20"/>
                <w:szCs w:val="20"/>
                <w:color w:val="auto"/>
              </w:rPr>
            </w:pPr>
            <w:r>
              <w:rPr>
                <w:rFonts w:ascii="Arial" w:cs="Arial" w:eastAsia="Arial" w:hAnsi="Arial"/>
                <w:sz w:val="14"/>
                <w:szCs w:val="14"/>
                <w:b w:val="1"/>
                <w:bCs w:val="1"/>
                <w:color w:val="auto"/>
              </w:rPr>
              <w:t>Auditor Name:</w:t>
            </w:r>
          </w:p>
        </w:tc>
        <w:tc>
          <w:tcPr>
            <w:tcW w:w="3380" w:type="dxa"/>
            <w:vAlign w:val="bottom"/>
          </w:tcPr>
          <w:p>
            <w:pPr>
              <w:ind w:left="160"/>
              <w:spacing w:after="0"/>
              <w:rPr>
                <w:sz w:val="20"/>
                <w:szCs w:val="20"/>
                <w:color w:val="auto"/>
              </w:rPr>
            </w:pPr>
            <w:r>
              <w:rPr>
                <w:rFonts w:ascii="Arial" w:cs="Arial" w:eastAsia="Arial" w:hAnsi="Arial"/>
                <w:sz w:val="14"/>
                <w:szCs w:val="14"/>
                <w:color w:val="auto"/>
                <w:w w:val="98"/>
              </w:rPr>
              <w:t>Kost Forer Gabbay &amp; Kasierer, a member of Ernst &amp;</w:t>
            </w:r>
          </w:p>
        </w:tc>
        <w:tc>
          <w:tcPr>
            <w:tcW w:w="1440" w:type="dxa"/>
            <w:vAlign w:val="bottom"/>
          </w:tcPr>
          <w:p>
            <w:pPr>
              <w:ind w:left="140"/>
              <w:spacing w:after="0"/>
              <w:rPr>
                <w:sz w:val="20"/>
                <w:szCs w:val="20"/>
                <w:color w:val="auto"/>
              </w:rPr>
            </w:pPr>
            <w:r>
              <w:rPr>
                <w:rFonts w:ascii="Arial" w:cs="Arial" w:eastAsia="Arial" w:hAnsi="Arial"/>
                <w:sz w:val="14"/>
                <w:szCs w:val="14"/>
                <w:b w:val="1"/>
                <w:bCs w:val="1"/>
                <w:color w:val="auto"/>
              </w:rPr>
              <w:t>Auditor Location:</w:t>
            </w:r>
          </w:p>
        </w:tc>
        <w:tc>
          <w:tcPr>
            <w:tcW w:w="2700" w:type="dxa"/>
            <w:vAlign w:val="bottom"/>
          </w:tcPr>
          <w:p>
            <w:pPr>
              <w:ind w:left="160"/>
              <w:spacing w:after="0"/>
              <w:rPr>
                <w:sz w:val="20"/>
                <w:szCs w:val="20"/>
                <w:color w:val="auto"/>
              </w:rPr>
            </w:pPr>
            <w:r>
              <w:rPr>
                <w:rFonts w:ascii="Arial" w:cs="Arial" w:eastAsia="Arial" w:hAnsi="Arial"/>
                <w:sz w:val="14"/>
                <w:szCs w:val="14"/>
                <w:color w:val="auto"/>
              </w:rPr>
              <w:t>Tel-Aviv, Israel</w:t>
            </w:r>
          </w:p>
        </w:tc>
      </w:tr>
      <w:tr>
        <w:trPr>
          <w:trHeight w:val="182"/>
        </w:trPr>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380" w:type="dxa"/>
            <w:vAlign w:val="bottom"/>
          </w:tcPr>
          <w:p>
            <w:pPr>
              <w:ind w:left="160"/>
              <w:spacing w:after="0"/>
              <w:rPr>
                <w:sz w:val="20"/>
                <w:szCs w:val="20"/>
                <w:color w:val="auto"/>
              </w:rPr>
            </w:pPr>
            <w:r>
              <w:rPr>
                <w:rFonts w:ascii="Arial" w:cs="Arial" w:eastAsia="Arial" w:hAnsi="Arial"/>
                <w:sz w:val="14"/>
                <w:szCs w:val="14"/>
                <w:color w:val="auto"/>
              </w:rPr>
              <w:t>Young Global</w:t>
            </w:r>
          </w:p>
        </w:tc>
        <w:tc>
          <w:tcPr>
            <w:tcW w:w="144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120"/>
        </w:trPr>
        <w:tc>
          <w:tcPr>
            <w:tcW w:w="1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500"/>
        </w:trPr>
        <w:tc>
          <w:tcPr>
            <w:tcW w:w="1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bl>
      <w:tblPr>
        <w:tblLayout w:type="fixed"/>
        <w:tblInd w:w="10" w:type="dxa"/>
        <w:tblCellMar>
          <w:top w:w="0" w:type="dxa"/>
          <w:left w:w="0" w:type="dxa"/>
          <w:bottom w:w="0" w:type="dxa"/>
          <w:right w:w="0" w:type="dxa"/>
        </w:tblCellMar>
      </w:tblPr>
      <w:tr>
        <w:trPr>
          <w:trHeight w:val="276"/>
        </w:trPr>
        <w:tc>
          <w:tcPr>
            <w:tcW w:w="7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9"/>
          </w:tcPr>
          <w:p>
            <w:pPr>
              <w:ind w:left="180"/>
              <w:spacing w:after="0"/>
              <w:rPr>
                <w:sz w:val="20"/>
                <w:szCs w:val="20"/>
                <w:color w:val="auto"/>
              </w:rPr>
            </w:pPr>
            <w:r>
              <w:rPr>
                <w:rFonts w:ascii="Arial" w:cs="Arial" w:eastAsia="Arial" w:hAnsi="Arial"/>
                <w:sz w:val="20"/>
                <w:szCs w:val="20"/>
                <w:b w:val="1"/>
                <w:bCs w:val="1"/>
                <w:color w:val="auto"/>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8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1.</w:t>
            </w:r>
          </w:p>
        </w:tc>
        <w:tc>
          <w:tcPr>
            <w:tcW w:w="80" w:type="dxa"/>
            <w:vAlign w:val="bottom"/>
          </w:tcPr>
          <w:p>
            <w:pPr>
              <w:spacing w:after="0"/>
              <w:rPr>
                <w:sz w:val="16"/>
                <w:szCs w:val="16"/>
                <w:color w:val="auto"/>
              </w:rPr>
            </w:pPr>
          </w:p>
        </w:tc>
        <w:tc>
          <w:tcPr>
            <w:tcW w:w="640" w:type="dxa"/>
            <w:vAlign w:val="bottom"/>
            <w:tcBorders>
              <w:bottom w:val="single" w:sz="8" w:color="0000FF"/>
            </w:tcBorders>
          </w:tcPr>
          <w:p>
            <w:pPr>
              <w:spacing w:after="0" w:line="190"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Business</w:t>
              </w:r>
            </w:hyperlink>
          </w:p>
        </w:tc>
        <w:tc>
          <w:tcPr>
            <w:tcW w:w="40" w:type="dxa"/>
            <w:vAlign w:val="bottom"/>
            <w:tcBorders>
              <w:bottom w:val="single" w:sz="8" w:color="0000EE"/>
            </w:tcBorders>
          </w:tcPr>
          <w:p>
            <w:pPr>
              <w:spacing w:after="0"/>
              <w:rPr>
                <w:sz w:val="16"/>
                <w:szCs w:val="16"/>
                <w:color w:val="auto"/>
              </w:rPr>
            </w:pPr>
          </w:p>
        </w:tc>
        <w:tc>
          <w:tcPr>
            <w:tcW w:w="8440" w:type="dxa"/>
            <w:vAlign w:val="bottom"/>
            <w:gridSpan w:val="23"/>
          </w:tcPr>
          <w:p>
            <w:pPr>
              <w:spacing w:after="0"/>
              <w:rPr>
                <w:sz w:val="16"/>
                <w:szCs w:val="16"/>
                <w:color w:val="auto"/>
              </w:rPr>
            </w:pP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1A.</w:t>
            </w:r>
          </w:p>
        </w:tc>
        <w:tc>
          <w:tcPr>
            <w:tcW w:w="80" w:type="dxa"/>
            <w:vAlign w:val="bottom"/>
          </w:tcPr>
          <w:p>
            <w:pPr>
              <w:spacing w:after="0"/>
              <w:rPr>
                <w:sz w:val="14"/>
                <w:szCs w:val="14"/>
                <w:color w:val="auto"/>
              </w:rPr>
            </w:pPr>
          </w:p>
        </w:tc>
        <w:tc>
          <w:tcPr>
            <w:tcW w:w="9120" w:type="dxa"/>
            <w:vAlign w:val="bottom"/>
            <w:gridSpan w:val="25"/>
          </w:tcPr>
          <w:p>
            <w:pPr>
              <w:spacing w:after="0" w:line="169" w:lineRule="exact"/>
              <w:rPr>
                <w:rFonts w:ascii="Arial" w:cs="Arial" w:eastAsia="Arial" w:hAnsi="Arial"/>
                <w:sz w:val="18"/>
                <w:szCs w:val="18"/>
                <w:color w:val="0000FF"/>
              </w:rPr>
            </w:pPr>
            <w:hyperlink w:anchor="page20">
              <w:r>
                <w:rPr>
                  <w:rFonts w:ascii="Arial" w:cs="Arial" w:eastAsia="Arial" w:hAnsi="Arial"/>
                  <w:sz w:val="18"/>
                  <w:szCs w:val="18"/>
                  <w:color w:val="0000FF"/>
                </w:rPr>
                <w:t>Risk Factors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1B.</w:t>
            </w:r>
          </w:p>
        </w:tc>
        <w:tc>
          <w:tcPr>
            <w:tcW w:w="80" w:type="dxa"/>
            <w:vAlign w:val="bottom"/>
          </w:tcPr>
          <w:p>
            <w:pPr>
              <w:spacing w:after="0"/>
              <w:rPr>
                <w:sz w:val="14"/>
                <w:szCs w:val="14"/>
                <w:color w:val="auto"/>
              </w:rPr>
            </w:pPr>
          </w:p>
        </w:tc>
        <w:tc>
          <w:tcPr>
            <w:tcW w:w="900" w:type="dxa"/>
            <w:vAlign w:val="bottom"/>
            <w:tcBorders>
              <w:top w:val="single" w:sz="8" w:color="0000FF"/>
            </w:tcBorders>
            <w:gridSpan w:val="3"/>
          </w:tcPr>
          <w:p>
            <w:pPr>
              <w:spacing w:after="0" w:line="169" w:lineRule="exact"/>
              <w:rPr>
                <w:rFonts w:ascii="Arial" w:cs="Arial" w:eastAsia="Arial" w:hAnsi="Arial"/>
                <w:sz w:val="18"/>
                <w:szCs w:val="18"/>
                <w:color w:val="0000FF"/>
                <w:w w:val="96"/>
              </w:rPr>
            </w:pPr>
            <w:hyperlink w:anchor="page56">
              <w:r>
                <w:rPr>
                  <w:rFonts w:ascii="Arial" w:cs="Arial" w:eastAsia="Arial" w:hAnsi="Arial"/>
                  <w:sz w:val="18"/>
                  <w:szCs w:val="18"/>
                  <w:color w:val="0000FF"/>
                  <w:w w:val="96"/>
                </w:rPr>
                <w:t>Unresolved</w:t>
              </w:r>
            </w:hyperlink>
          </w:p>
        </w:tc>
        <w:tc>
          <w:tcPr>
            <w:tcW w:w="20" w:type="dxa"/>
            <w:vAlign w:val="bottom"/>
            <w:tcBorders>
              <w:top w:val="single" w:sz="8" w:color="0000EE"/>
            </w:tcBorders>
          </w:tcPr>
          <w:p>
            <w:pPr>
              <w:spacing w:after="0"/>
              <w:rPr>
                <w:sz w:val="14"/>
                <w:szCs w:val="14"/>
                <w:color w:val="auto"/>
              </w:rPr>
            </w:pPr>
          </w:p>
        </w:tc>
        <w:tc>
          <w:tcPr>
            <w:tcW w:w="8200" w:type="dxa"/>
            <w:vAlign w:val="bottom"/>
            <w:gridSpan w:val="21"/>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Staff Comments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2.</w:t>
            </w:r>
          </w:p>
        </w:tc>
        <w:tc>
          <w:tcPr>
            <w:tcW w:w="80" w:type="dxa"/>
            <w:vAlign w:val="bottom"/>
          </w:tcPr>
          <w:p>
            <w:pPr>
              <w:spacing w:after="0"/>
              <w:rPr>
                <w:sz w:val="14"/>
                <w:szCs w:val="14"/>
                <w:color w:val="auto"/>
              </w:rPr>
            </w:pPr>
          </w:p>
        </w:tc>
        <w:tc>
          <w:tcPr>
            <w:tcW w:w="204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Properties</w:t>
              </w:r>
            </w:hyperlink>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ind w:left="140"/>
              <w:spacing w:after="0" w:line="189" w:lineRule="exact"/>
              <w:rPr>
                <w:sz w:val="20"/>
                <w:szCs w:val="20"/>
                <w:color w:val="auto"/>
              </w:rPr>
            </w:pPr>
            <w:r>
              <w:rPr>
                <w:rFonts w:ascii="Arial" w:cs="Arial" w:eastAsia="Arial" w:hAnsi="Arial"/>
                <w:sz w:val="18"/>
                <w:szCs w:val="18"/>
                <w:color w:val="auto"/>
              </w:rPr>
              <w:t>Item 3.</w:t>
            </w:r>
          </w:p>
        </w:tc>
        <w:tc>
          <w:tcPr>
            <w:tcW w:w="8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169"/>
        </w:trPr>
        <w:tc>
          <w:tcPr>
            <w:tcW w:w="12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0000FF"/>
            </w:tcBorders>
            <w:gridSpan w:val="6"/>
          </w:tcPr>
          <w:p>
            <w:pPr>
              <w:spacing w:after="0" w:line="169" w:lineRule="exact"/>
              <w:rPr>
                <w:rFonts w:ascii="Arial" w:cs="Arial" w:eastAsia="Arial" w:hAnsi="Arial"/>
                <w:sz w:val="18"/>
                <w:szCs w:val="18"/>
                <w:color w:val="0000FF"/>
                <w:w w:val="88"/>
              </w:rPr>
            </w:pPr>
            <w:hyperlink w:anchor="page56">
              <w:r>
                <w:rPr>
                  <w:rFonts w:ascii="Arial" w:cs="Arial" w:eastAsia="Arial" w:hAnsi="Arial"/>
                  <w:sz w:val="18"/>
                  <w:szCs w:val="18"/>
                  <w:color w:val="0000FF"/>
                  <w:w w:val="88"/>
                </w:rPr>
                <w:t>Legal Proceedings</w:t>
              </w:r>
            </w:hyperlink>
          </w:p>
        </w:tc>
        <w:tc>
          <w:tcPr>
            <w:tcW w:w="20" w:type="dxa"/>
            <w:vAlign w:val="bottom"/>
            <w:tcBorders>
              <w:bottom w:val="single" w:sz="8" w:color="0000EE"/>
            </w:tcBorders>
          </w:tcPr>
          <w:p>
            <w:pPr>
              <w:spacing w:after="0"/>
              <w:rPr>
                <w:sz w:val="14"/>
                <w:szCs w:val="14"/>
                <w:color w:val="auto"/>
              </w:rPr>
            </w:pPr>
          </w:p>
        </w:tc>
        <w:tc>
          <w:tcPr>
            <w:tcW w:w="7760" w:type="dxa"/>
            <w:vAlign w:val="bottom"/>
            <w:gridSpan w:val="18"/>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4.</w:t>
            </w:r>
          </w:p>
        </w:tc>
        <w:tc>
          <w:tcPr>
            <w:tcW w:w="80" w:type="dxa"/>
            <w:vAlign w:val="bottom"/>
          </w:tcPr>
          <w:p>
            <w:pPr>
              <w:spacing w:after="0"/>
              <w:rPr>
                <w:sz w:val="14"/>
                <w:szCs w:val="14"/>
                <w:color w:val="auto"/>
              </w:rPr>
            </w:pPr>
          </w:p>
        </w:tc>
        <w:tc>
          <w:tcPr>
            <w:tcW w:w="9120" w:type="dxa"/>
            <w:vAlign w:val="bottom"/>
            <w:gridSpan w:val="25"/>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57"/>
        </w:trPr>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5.</w:t>
            </w:r>
          </w:p>
        </w:tc>
        <w:tc>
          <w:tcPr>
            <w:tcW w:w="80" w:type="dxa"/>
            <w:vAlign w:val="bottom"/>
          </w:tcPr>
          <w:p>
            <w:pPr>
              <w:spacing w:after="0"/>
              <w:rPr>
                <w:sz w:val="16"/>
                <w:szCs w:val="16"/>
                <w:color w:val="auto"/>
              </w:rPr>
            </w:pPr>
          </w:p>
        </w:tc>
        <w:tc>
          <w:tcPr>
            <w:tcW w:w="9120" w:type="dxa"/>
            <w:vAlign w:val="bottom"/>
            <w:gridSpan w:val="25"/>
          </w:tcPr>
          <w:p>
            <w:pPr>
              <w:spacing w:after="0" w:line="190" w:lineRule="exact"/>
              <w:rPr>
                <w:rFonts w:ascii="Arial" w:cs="Arial" w:eastAsia="Arial" w:hAnsi="Arial"/>
                <w:sz w:val="18"/>
                <w:szCs w:val="18"/>
                <w:color w:val="0000FF"/>
              </w:rPr>
            </w:pPr>
            <w:hyperlink w:anchor="page57">
              <w:r>
                <w:rPr>
                  <w:rFonts w:ascii="Arial" w:cs="Arial" w:eastAsia="Arial" w:hAnsi="Arial"/>
                  <w:sz w:val="18"/>
                  <w:szCs w:val="18"/>
                  <w:color w:val="0000FF"/>
                </w:rPr>
                <w:t>Market for Registrant’s Common Equity, Related Stockholder Matters and Issuer Purchases of Equity Securities</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6.</w:t>
            </w:r>
          </w:p>
        </w:tc>
        <w:tc>
          <w:tcPr>
            <w:tcW w:w="80" w:type="dxa"/>
            <w:vAlign w:val="bottom"/>
          </w:tcPr>
          <w:p>
            <w:pPr>
              <w:spacing w:after="0"/>
              <w:rPr>
                <w:sz w:val="14"/>
                <w:szCs w:val="14"/>
                <w:color w:val="auto"/>
              </w:rPr>
            </w:pPr>
          </w:p>
        </w:tc>
        <w:tc>
          <w:tcPr>
            <w:tcW w:w="808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59">
              <w:r>
                <w:rPr>
                  <w:rFonts w:ascii="Arial" w:cs="Arial" w:eastAsia="Arial" w:hAnsi="Arial"/>
                  <w:sz w:val="18"/>
                  <w:szCs w:val="18"/>
                  <w:color w:val="0000FF"/>
                </w:rPr>
                <w:t>Reserved</w:t>
              </w:r>
            </w:hyperlink>
          </w:p>
        </w:tc>
        <w:tc>
          <w:tcPr>
            <w:tcW w:w="10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ind w:left="140"/>
              <w:spacing w:after="0" w:line="189" w:lineRule="exact"/>
              <w:rPr>
                <w:sz w:val="20"/>
                <w:szCs w:val="20"/>
                <w:color w:val="auto"/>
              </w:rPr>
            </w:pPr>
            <w:r>
              <w:rPr>
                <w:rFonts w:ascii="Arial" w:cs="Arial" w:eastAsia="Arial" w:hAnsi="Arial"/>
                <w:sz w:val="18"/>
                <w:szCs w:val="18"/>
                <w:color w:val="auto"/>
              </w:rPr>
              <w:t>Item 7.</w:t>
            </w:r>
          </w:p>
        </w:tc>
        <w:tc>
          <w:tcPr>
            <w:tcW w:w="8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59</w:t>
            </w:r>
          </w:p>
        </w:tc>
        <w:tc>
          <w:tcPr>
            <w:tcW w:w="0" w:type="dxa"/>
            <w:vAlign w:val="bottom"/>
          </w:tcPr>
          <w:p>
            <w:pPr>
              <w:spacing w:after="0" w:line="20" w:lineRule="exact"/>
              <w:rPr>
                <w:sz w:val="1"/>
                <w:szCs w:val="1"/>
                <w:color w:val="auto"/>
              </w:rPr>
            </w:pPr>
          </w:p>
        </w:tc>
      </w:tr>
      <w:tr>
        <w:trPr>
          <w:trHeight w:val="169"/>
        </w:trPr>
        <w:tc>
          <w:tcPr>
            <w:tcW w:w="12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120" w:type="dxa"/>
            <w:vAlign w:val="bottom"/>
            <w:gridSpan w:val="25"/>
          </w:tcPr>
          <w:p>
            <w:pPr>
              <w:spacing w:after="0" w:line="169" w:lineRule="exact"/>
              <w:rPr>
                <w:rFonts w:ascii="Arial" w:cs="Arial" w:eastAsia="Arial" w:hAnsi="Arial"/>
                <w:sz w:val="18"/>
                <w:szCs w:val="18"/>
                <w:color w:val="0000FF"/>
              </w:rPr>
            </w:pPr>
            <w:hyperlink w:anchor="page60">
              <w:r>
                <w:rPr>
                  <w:rFonts w:ascii="Arial" w:cs="Arial" w:eastAsia="Arial" w:hAnsi="Arial"/>
                  <w:sz w:val="18"/>
                  <w:szCs w:val="18"/>
                  <w:color w:val="0000FF"/>
                </w:rPr>
                <w:t>Management’s Discussion and Analysis of Financial Condition and Results of Operations</w:t>
              </w:r>
            </w:hyperlink>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7A.</w:t>
            </w:r>
          </w:p>
        </w:tc>
        <w:tc>
          <w:tcPr>
            <w:tcW w:w="80" w:type="dxa"/>
            <w:vAlign w:val="bottom"/>
          </w:tcPr>
          <w:p>
            <w:pPr>
              <w:spacing w:after="0"/>
              <w:rPr>
                <w:sz w:val="14"/>
                <w:szCs w:val="14"/>
                <w:color w:val="auto"/>
              </w:rPr>
            </w:pPr>
          </w:p>
        </w:tc>
        <w:tc>
          <w:tcPr>
            <w:tcW w:w="646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71">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8.</w:t>
            </w:r>
          </w:p>
        </w:tc>
        <w:tc>
          <w:tcPr>
            <w:tcW w:w="80" w:type="dxa"/>
            <w:vAlign w:val="bottom"/>
          </w:tcPr>
          <w:p>
            <w:pPr>
              <w:spacing w:after="0"/>
              <w:rPr>
                <w:sz w:val="14"/>
                <w:szCs w:val="14"/>
                <w:color w:val="auto"/>
              </w:rPr>
            </w:pPr>
          </w:p>
        </w:tc>
        <w:tc>
          <w:tcPr>
            <w:tcW w:w="43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72">
              <w:r>
                <w:rPr>
                  <w:rFonts w:ascii="Arial" w:cs="Arial" w:eastAsia="Arial" w:hAnsi="Arial"/>
                  <w:sz w:val="18"/>
                  <w:szCs w:val="18"/>
                  <w:color w:val="0000FF"/>
                </w:rPr>
                <w:t>Financial Statements and Supplementary Data</w:t>
              </w:r>
            </w:hyperlink>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9.</w:t>
            </w:r>
          </w:p>
        </w:tc>
        <w:tc>
          <w:tcPr>
            <w:tcW w:w="80" w:type="dxa"/>
            <w:vAlign w:val="bottom"/>
          </w:tcPr>
          <w:p>
            <w:pPr>
              <w:spacing w:after="0"/>
              <w:rPr>
                <w:sz w:val="14"/>
                <w:szCs w:val="14"/>
                <w:color w:val="auto"/>
              </w:rPr>
            </w:pPr>
          </w:p>
        </w:tc>
        <w:tc>
          <w:tcPr>
            <w:tcW w:w="3320" w:type="dxa"/>
            <w:vAlign w:val="bottom"/>
            <w:tcBorders>
              <w:top w:val="single" w:sz="8" w:color="0000FF"/>
            </w:tcBorders>
            <w:gridSpan w:val="15"/>
          </w:tcPr>
          <w:p>
            <w:pPr>
              <w:spacing w:after="0" w:line="169" w:lineRule="exact"/>
              <w:rPr>
                <w:rFonts w:ascii="Arial" w:cs="Arial" w:eastAsia="Arial" w:hAnsi="Arial"/>
                <w:sz w:val="18"/>
                <w:szCs w:val="18"/>
                <w:color w:val="0000FF"/>
                <w:w w:val="83"/>
              </w:rPr>
            </w:pPr>
            <w:hyperlink w:anchor="page100">
              <w:r>
                <w:rPr>
                  <w:rFonts w:ascii="Arial" w:cs="Arial" w:eastAsia="Arial" w:hAnsi="Arial"/>
                  <w:sz w:val="18"/>
                  <w:szCs w:val="18"/>
                  <w:color w:val="0000FF"/>
                  <w:w w:val="83"/>
                </w:rPr>
                <w:t>Changes in and Disagreements with Accountants</w:t>
              </w:r>
            </w:hyperlink>
          </w:p>
        </w:tc>
        <w:tc>
          <w:tcPr>
            <w:tcW w:w="20" w:type="dxa"/>
            <w:vAlign w:val="bottom"/>
            <w:tcBorders>
              <w:top w:val="single" w:sz="8" w:color="0000EE"/>
            </w:tcBorders>
          </w:tcPr>
          <w:p>
            <w:pPr>
              <w:spacing w:after="0"/>
              <w:rPr>
                <w:sz w:val="14"/>
                <w:szCs w:val="14"/>
                <w:color w:val="auto"/>
              </w:rPr>
            </w:pPr>
          </w:p>
        </w:tc>
        <w:tc>
          <w:tcPr>
            <w:tcW w:w="5780" w:type="dxa"/>
            <w:vAlign w:val="bottom"/>
            <w:gridSpan w:val="9"/>
          </w:tcPr>
          <w:p>
            <w:pPr>
              <w:ind w:left="240"/>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on Accounting and Financial Disclosure</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9A.</w:t>
            </w:r>
          </w:p>
        </w:tc>
        <w:tc>
          <w:tcPr>
            <w:tcW w:w="80" w:type="dxa"/>
            <w:vAlign w:val="bottom"/>
          </w:tcPr>
          <w:p>
            <w:pPr>
              <w:spacing w:after="0"/>
              <w:rPr>
                <w:sz w:val="14"/>
                <w:szCs w:val="14"/>
                <w:color w:val="auto"/>
              </w:rPr>
            </w:pPr>
          </w:p>
        </w:tc>
        <w:tc>
          <w:tcPr>
            <w:tcW w:w="648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Controls and Procedures</w:t>
              </w:r>
            </w:hyperlink>
          </w:p>
        </w:tc>
        <w:tc>
          <w:tcPr>
            <w:tcW w:w="800" w:type="dxa"/>
            <w:vAlign w:val="bottom"/>
          </w:tcPr>
          <w:p>
            <w:pPr>
              <w:spacing w:after="0"/>
              <w:rPr>
                <w:sz w:val="14"/>
                <w:szCs w:val="14"/>
                <w:color w:val="auto"/>
              </w:rPr>
            </w:pPr>
          </w:p>
        </w:tc>
        <w:tc>
          <w:tcPr>
            <w:tcW w:w="184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9B.</w:t>
            </w:r>
          </w:p>
        </w:tc>
        <w:tc>
          <w:tcPr>
            <w:tcW w:w="8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2"/>
              </w:rPr>
            </w:pPr>
            <w:hyperlink w:anchor="page102">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42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spacing w:after="0"/>
              <w:rPr>
                <w:sz w:val="14"/>
                <w:szCs w:val="14"/>
                <w:color w:val="auto"/>
              </w:rPr>
            </w:pPr>
          </w:p>
        </w:tc>
        <w:tc>
          <w:tcPr>
            <w:tcW w:w="80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84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9C.</w:t>
            </w:r>
          </w:p>
        </w:tc>
        <w:tc>
          <w:tcPr>
            <w:tcW w:w="80" w:type="dxa"/>
            <w:vAlign w:val="bottom"/>
          </w:tcPr>
          <w:p>
            <w:pPr>
              <w:spacing w:after="0"/>
              <w:rPr>
                <w:sz w:val="14"/>
                <w:szCs w:val="14"/>
                <w:color w:val="auto"/>
              </w:rPr>
            </w:pPr>
          </w:p>
        </w:tc>
        <w:tc>
          <w:tcPr>
            <w:tcW w:w="9120" w:type="dxa"/>
            <w:vAlign w:val="bottom"/>
            <w:gridSpan w:val="25"/>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Disclosure Regarding Foreign Jurisdictions that Prevent Inspections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57"/>
        </w:trPr>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III</w:t>
            </w: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10.</w:t>
            </w:r>
          </w:p>
        </w:tc>
        <w:tc>
          <w:tcPr>
            <w:tcW w:w="80" w:type="dxa"/>
            <w:vAlign w:val="bottom"/>
          </w:tcPr>
          <w:p>
            <w:pPr>
              <w:spacing w:after="0"/>
              <w:rPr>
                <w:sz w:val="16"/>
                <w:szCs w:val="16"/>
                <w:color w:val="auto"/>
              </w:rPr>
            </w:pPr>
          </w:p>
        </w:tc>
        <w:tc>
          <w:tcPr>
            <w:tcW w:w="9120" w:type="dxa"/>
            <w:vAlign w:val="bottom"/>
            <w:gridSpan w:val="25"/>
          </w:tcPr>
          <w:p>
            <w:pPr>
              <w:spacing w:after="0" w:line="190" w:lineRule="exact"/>
              <w:rPr>
                <w:rFonts w:ascii="Arial" w:cs="Arial" w:eastAsia="Arial" w:hAnsi="Arial"/>
                <w:sz w:val="18"/>
                <w:szCs w:val="18"/>
                <w:color w:val="0000FF"/>
              </w:rPr>
            </w:pPr>
            <w:hyperlink w:anchor="page103">
              <w:r>
                <w:rPr>
                  <w:rFonts w:ascii="Arial" w:cs="Arial" w:eastAsia="Arial" w:hAnsi="Arial"/>
                  <w:sz w:val="18"/>
                  <w:szCs w:val="18"/>
                  <w:color w:val="0000FF"/>
                </w:rPr>
                <w:t>Directors, Executive Officers and Corporate Governance</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11.</w:t>
            </w:r>
          </w:p>
        </w:tc>
        <w:tc>
          <w:tcPr>
            <w:tcW w:w="80" w:type="dxa"/>
            <w:vAlign w:val="bottom"/>
          </w:tcPr>
          <w:p>
            <w:pPr>
              <w:spacing w:after="0"/>
              <w:rPr>
                <w:sz w:val="14"/>
                <w:szCs w:val="14"/>
                <w:color w:val="auto"/>
              </w:rPr>
            </w:pPr>
          </w:p>
        </w:tc>
        <w:tc>
          <w:tcPr>
            <w:tcW w:w="410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107">
              <w:r>
                <w:rPr>
                  <w:rFonts w:ascii="Arial" w:cs="Arial" w:eastAsia="Arial" w:hAnsi="Arial"/>
                  <w:sz w:val="18"/>
                  <w:szCs w:val="18"/>
                  <w:color w:val="0000FF"/>
                </w:rPr>
                <w:t>Executive Compensation</w:t>
              </w:r>
            </w:hyperlink>
          </w:p>
        </w:tc>
        <w:tc>
          <w:tcPr>
            <w:tcW w:w="134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84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12.</w:t>
            </w:r>
          </w:p>
        </w:tc>
        <w:tc>
          <w:tcPr>
            <w:tcW w:w="80" w:type="dxa"/>
            <w:vAlign w:val="bottom"/>
          </w:tcPr>
          <w:p>
            <w:pPr>
              <w:spacing w:after="0"/>
              <w:rPr>
                <w:sz w:val="14"/>
                <w:szCs w:val="14"/>
                <w:color w:val="auto"/>
              </w:rPr>
            </w:pPr>
          </w:p>
        </w:tc>
        <w:tc>
          <w:tcPr>
            <w:tcW w:w="180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122">
              <w:r>
                <w:rPr>
                  <w:rFonts w:ascii="Arial" w:cs="Arial" w:eastAsia="Arial" w:hAnsi="Arial"/>
                  <w:sz w:val="18"/>
                  <w:szCs w:val="18"/>
                  <w:color w:val="0000FF"/>
                </w:rPr>
                <w:t>Security Ownership of</w:t>
              </w:r>
            </w:hyperlink>
          </w:p>
        </w:tc>
        <w:tc>
          <w:tcPr>
            <w:tcW w:w="20" w:type="dxa"/>
            <w:vAlign w:val="bottom"/>
            <w:tcBorders>
              <w:top w:val="single" w:sz="8" w:color="0000EE"/>
            </w:tcBorders>
          </w:tcPr>
          <w:p>
            <w:pPr>
              <w:spacing w:after="0"/>
              <w:rPr>
                <w:sz w:val="14"/>
                <w:szCs w:val="14"/>
                <w:color w:val="auto"/>
              </w:rPr>
            </w:pPr>
          </w:p>
        </w:tc>
        <w:tc>
          <w:tcPr>
            <w:tcW w:w="7300" w:type="dxa"/>
            <w:vAlign w:val="bottom"/>
            <w:gridSpan w:val="14"/>
          </w:tcPr>
          <w:p>
            <w:pPr>
              <w:spacing w:after="0" w:line="169" w:lineRule="exact"/>
              <w:rPr>
                <w:rFonts w:ascii="Arial" w:cs="Arial" w:eastAsia="Arial" w:hAnsi="Arial"/>
                <w:sz w:val="18"/>
                <w:szCs w:val="18"/>
                <w:color w:val="0000FF"/>
              </w:rPr>
            </w:pPr>
            <w:hyperlink w:anchor="page122">
              <w:r>
                <w:rPr>
                  <w:rFonts w:ascii="Arial" w:cs="Arial" w:eastAsia="Arial" w:hAnsi="Arial"/>
                  <w:sz w:val="18"/>
                  <w:szCs w:val="18"/>
                  <w:color w:val="0000FF"/>
                </w:rPr>
                <w:t>Certain Beneficial Owners and Management and Related Stockholder Matters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13.</w:t>
            </w:r>
          </w:p>
        </w:tc>
        <w:tc>
          <w:tcPr>
            <w:tcW w:w="80" w:type="dxa"/>
            <w:vAlign w:val="bottom"/>
          </w:tcPr>
          <w:p>
            <w:pPr>
              <w:spacing w:after="0"/>
              <w:rPr>
                <w:sz w:val="14"/>
                <w:szCs w:val="14"/>
                <w:color w:val="auto"/>
              </w:rPr>
            </w:pPr>
          </w:p>
        </w:tc>
        <w:tc>
          <w:tcPr>
            <w:tcW w:w="72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124">
              <w:r>
                <w:rPr>
                  <w:rFonts w:ascii="Arial" w:cs="Arial" w:eastAsia="Arial" w:hAnsi="Arial"/>
                  <w:sz w:val="18"/>
                  <w:szCs w:val="18"/>
                  <w:color w:val="0000FF"/>
                </w:rPr>
                <w:t>Certain Relationships and Related Transactions, and Director Independence</w:t>
              </w:r>
            </w:hyperlink>
          </w:p>
        </w:tc>
        <w:tc>
          <w:tcPr>
            <w:tcW w:w="184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14.</w:t>
            </w:r>
          </w:p>
        </w:tc>
        <w:tc>
          <w:tcPr>
            <w:tcW w:w="80" w:type="dxa"/>
            <w:vAlign w:val="bottom"/>
          </w:tcPr>
          <w:p>
            <w:pPr>
              <w:spacing w:after="0"/>
              <w:rPr>
                <w:sz w:val="14"/>
                <w:szCs w:val="14"/>
                <w:color w:val="auto"/>
              </w:rPr>
            </w:pPr>
          </w:p>
        </w:tc>
        <w:tc>
          <w:tcPr>
            <w:tcW w:w="544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125">
              <w:r>
                <w:rPr>
                  <w:rFonts w:ascii="Arial" w:cs="Arial" w:eastAsia="Arial" w:hAnsi="Arial"/>
                  <w:sz w:val="18"/>
                  <w:szCs w:val="18"/>
                  <w:color w:val="0000FF"/>
                </w:rPr>
                <w:t>Principal Accounting Fees and Services</w:t>
              </w:r>
            </w:hyperlink>
          </w:p>
        </w:tc>
        <w:tc>
          <w:tcPr>
            <w:tcW w:w="3680" w:type="dxa"/>
            <w:vAlign w:val="bottom"/>
            <w:gridSpan w:val="5"/>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57"/>
        </w:trPr>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IV</w:t>
            </w: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15.</w:t>
            </w:r>
          </w:p>
        </w:tc>
        <w:tc>
          <w:tcPr>
            <w:tcW w:w="80" w:type="dxa"/>
            <w:vAlign w:val="bottom"/>
          </w:tcPr>
          <w:p>
            <w:pPr>
              <w:spacing w:after="0"/>
              <w:rPr>
                <w:sz w:val="16"/>
                <w:szCs w:val="16"/>
                <w:color w:val="auto"/>
              </w:rPr>
            </w:pPr>
          </w:p>
        </w:tc>
        <w:tc>
          <w:tcPr>
            <w:tcW w:w="9120" w:type="dxa"/>
            <w:vAlign w:val="bottom"/>
            <w:gridSpan w:val="25"/>
          </w:tcPr>
          <w:p>
            <w:pPr>
              <w:spacing w:after="0" w:line="190" w:lineRule="exact"/>
              <w:rPr>
                <w:rFonts w:ascii="Arial" w:cs="Arial" w:eastAsia="Arial" w:hAnsi="Arial"/>
                <w:sz w:val="18"/>
                <w:szCs w:val="18"/>
                <w:color w:val="0000FF"/>
              </w:rPr>
            </w:pPr>
            <w:hyperlink w:anchor="page127">
              <w:r>
                <w:rPr>
                  <w:rFonts w:ascii="Arial" w:cs="Arial" w:eastAsia="Arial" w:hAnsi="Arial"/>
                  <w:sz w:val="18"/>
                  <w:szCs w:val="18"/>
                  <w:color w:val="0000FF"/>
                </w:rPr>
                <w:t>Exhibits and Financial Statement Schedules</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69"/>
        </w:trPr>
        <w:tc>
          <w:tcPr>
            <w:tcW w:w="128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16.</w:t>
            </w:r>
          </w:p>
        </w:tc>
        <w:tc>
          <w:tcPr>
            <w:tcW w:w="80" w:type="dxa"/>
            <w:vAlign w:val="bottom"/>
          </w:tcPr>
          <w:p>
            <w:pPr>
              <w:spacing w:after="0"/>
              <w:rPr>
                <w:sz w:val="14"/>
                <w:szCs w:val="14"/>
                <w:color w:val="auto"/>
              </w:rPr>
            </w:pPr>
          </w:p>
        </w:tc>
        <w:tc>
          <w:tcPr>
            <w:tcW w:w="316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127">
              <w:r>
                <w:rPr>
                  <w:rFonts w:ascii="Arial" w:cs="Arial" w:eastAsia="Arial" w:hAnsi="Arial"/>
                  <w:sz w:val="18"/>
                  <w:szCs w:val="18"/>
                  <w:color w:val="0000FF"/>
                </w:rPr>
                <w:t>Form 10-K Summary</w:t>
              </w:r>
            </w:hyperlink>
          </w:p>
        </w:tc>
        <w:tc>
          <w:tcPr>
            <w:tcW w:w="5960" w:type="dxa"/>
            <w:vAlign w:val="bottom"/>
            <w:gridSpan w:val="11"/>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58"/>
        </w:trPr>
        <w:tc>
          <w:tcPr>
            <w:tcW w:w="1280" w:type="dxa"/>
            <w:vAlign w:val="bottom"/>
            <w:gridSpan w:val="3"/>
          </w:tcPr>
          <w:p>
            <w:pPr>
              <w:ind w:left="20"/>
              <w:spacing w:after="0"/>
              <w:rPr>
                <w:rFonts w:ascii="Arial" w:cs="Arial" w:eastAsia="Arial" w:hAnsi="Arial"/>
                <w:sz w:val="18"/>
                <w:szCs w:val="18"/>
                <w:color w:val="0000FF"/>
              </w:rPr>
            </w:pPr>
            <w:hyperlink w:anchor="page128">
              <w:r>
                <w:rPr>
                  <w:rFonts w:ascii="Arial" w:cs="Arial" w:eastAsia="Arial" w:hAnsi="Arial"/>
                  <w:sz w:val="18"/>
                  <w:szCs w:val="18"/>
                  <w:color w:val="0000FF"/>
                </w:rPr>
                <w:t>Exhibit Index</w:t>
              </w:r>
            </w:hyperlink>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69"/>
        </w:trPr>
        <w:tc>
          <w:tcPr>
            <w:tcW w:w="1000" w:type="dxa"/>
            <w:vAlign w:val="bottom"/>
            <w:tcBorders>
              <w:top w:val="single" w:sz="8" w:color="0000FF"/>
            </w:tcBorders>
            <w:gridSpan w:val="2"/>
          </w:tcPr>
          <w:p>
            <w:pPr>
              <w:ind w:left="20"/>
              <w:spacing w:after="0" w:line="169" w:lineRule="exact"/>
              <w:rPr>
                <w:rFonts w:ascii="Arial" w:cs="Arial" w:eastAsia="Arial" w:hAnsi="Arial"/>
                <w:sz w:val="18"/>
                <w:szCs w:val="18"/>
                <w:color w:val="0000FF"/>
              </w:rPr>
            </w:pPr>
            <w:hyperlink w:anchor="page130">
              <w:r>
                <w:rPr>
                  <w:rFonts w:ascii="Arial" w:cs="Arial" w:eastAsia="Arial" w:hAnsi="Arial"/>
                  <w:sz w:val="18"/>
                  <w:szCs w:val="18"/>
                  <w:color w:val="0000FF"/>
                </w:rPr>
                <w:t>Signatures</w:t>
              </w:r>
            </w:hyperlink>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78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stock-based compensation, revenue recognition, business strategy, plans and market growth.</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2021.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numerous risks and uncertainties, including those described in Part I, Item 1A. “Risk Factors” in this Annual Report on Form 10-K. You should carefully consider the following risk factors together with all other information included in this Form 10-K and our other publicly filed documents when investing in our common stock. The principal risks and uncertainties affecting our business include the following:</w:t>
      </w:r>
    </w:p>
    <w:p>
      <w:pPr>
        <w:spacing w:after="0" w:line="56"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which we expect to continue, and we may never achieve or sustain profitability.</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the markets we operate in are new and rapidly evolving which makes it difficult to evaluate our future prospects and the risks and challenges we may encounter.</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grow at the rates we historically have achieved or at all, even if our key metrics may indicate growth, which could have a material adverse effect on the market price of our common stock.</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virtual behavioral health market is immature and volatile, and if it does not develop, if it develops more slowly than we expect, if it encounters negative publicity or if our services are not competitive, the growth of our business will be harmed.</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outbreak of the novel coronavirus (COVID-19) and its impact on business and economic conditions could adversely affect our business, results of operations and financial condition, and the extent and duration of those effects will be uncertain.</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competitive industry, and if we are not able to compete effectively, our business, financial condition and results of operations will be harmed.</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unsuccessful in achieving broad market education and changing consumer purchasing habits.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depends in part on the success of our strategic relationships with third parties that we provide services to.</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virtual behavioral healthcare strategies depend on our ability to maintain and expand our network of therapists, psychiatrists and other providers. If we are unable to do so, our future growth would be limited and our business, financial condition and results of operations would be harmed.</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affecting spending by the healthcare industry could adversely affect our business.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could be adversely affected by legal challenges to our business model or by actions restricting our ability to provide the full range of our services in certain jurisdictions.</w:t>
      </w:r>
    </w:p>
    <w:p>
      <w:pPr>
        <w:spacing w:after="0" w:line="62"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left="1020" w:hanging="503"/>
        <w:spacing w:after="0" w:line="29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use and disclosure of personal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39"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failure to protect, enforce or defend our intellectual property rights could impair our ability to protect our technology and our brand.</w:t>
      </w:r>
    </w:p>
    <w:p>
      <w:pPr>
        <w:spacing w:after="0" w:line="115"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could cause us to incur unforeseen expenses and could occupy a significant amount of our management’s time and attention.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democratize access to high quality behavioral healthcare, so that those in need live a happier and healthier life.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Talkspace, Inc. (together with its consolidated subsidiaries, the “Company”, “we, “our”, “us” or “Talkspace”) is a leading behavioral healthcare company enabled by a purpose-built technology platform. Talkspace provides individuals and licensed therapists, psychologists and psychiatrists with an online platform for one-on-one therapy delivered via messaging, audio and video.</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business-to-consumer (“B2C”) channel, comprised of individual consumers who subscribe directly to our platform, and our business-to-business (“B2B”) channel, comprised of large enterprise clients such as Google and Expedia and large health plans and employee assistance programs (collectively, “health plan clients”) such as Aetna, Cigna, Premera and Optum (collectively, our “clients”), who offer their employees and insured members access to our platform while their employer is under an active contract with Talkspace, or at in-network reimbursement rates, where applicable.</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For the year ended December 31, 2021, approximately 280,000 members were registered on our platform, as compared to approximately 200,000 members for the year ended December 31, 2020. As of December 31, 2021, we had approximately 56,000 active members receiving care through our B2C and B2B channels, including approximately 24,000 B2C active members, and approximately 69 million B2B eligible lives.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While a growth in active members typically highlights strong engagement with our members, not all active members are associated with revenue in that particular period. We consider B2B lives “eligible” if such persons are eligible to receive treatment on the Talkspace platform, in the case of our enterprise 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members than we actually serve. For the year ended December 31, 2021, our clinicians completed 273,700 B2B sessions related to members covered under our health plan clients, as compared to 114,600 completed B2B sessions for the year ended December 31, 2020.</w:t>
      </w:r>
    </w:p>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 increasing ease of access and preserving privacy.</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platform connects consumers in need, including many of whom have never had an opportunity to benefit from high-quality behavioral healthcare, with experienced providers across all 50 U.S. states.</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Like the traditional face-to-face models, Talkspace providers are able to treat a wide range of mental health conditions, such as schizophrenia-spectrum disorders, bipolar disorders and depression, including through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current state of behavioral health is characterized by the following key factors:</w:t>
      </w:r>
    </w:p>
    <w:p>
      <w:pPr>
        <w:spacing w:after="0" w:line="104"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Growing incidence</w:t>
      </w:r>
      <w:r>
        <w:rPr>
          <w:rFonts w:ascii="Arial" w:cs="Arial" w:eastAsia="Arial" w:hAnsi="Arial"/>
          <w:sz w:val="18"/>
          <w:szCs w:val="18"/>
          <w:color w:val="auto"/>
        </w:rPr>
        <w:t>: There are rapidly rising occurrences of behavioral health conditions across the entire global population.</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Limited access due to factors such as stigma, physical hurdles and prohibitive cost</w:t>
      </w:r>
      <w:r>
        <w:rPr>
          <w:rFonts w:ascii="Arial" w:cs="Arial" w:eastAsia="Arial" w:hAnsi="Arial"/>
          <w:sz w:val="18"/>
          <w:szCs w:val="18"/>
          <w:color w:val="auto"/>
        </w:rPr>
        <w:t>: According to the National Alliance on Mental Illness, only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46% of U.S. adults with a mental illness received treatment in 2020.</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Inability to match demand for mental health services with therapists’ supply</w:t>
      </w:r>
      <w:r>
        <w:rPr>
          <w:rFonts w:ascii="Arial" w:cs="Arial" w:eastAsia="Arial" w:hAnsi="Arial"/>
          <w:sz w:val="18"/>
          <w:szCs w:val="18"/>
          <w:color w:val="auto"/>
        </w:rPr>
        <w:t>: Patients face difficulties accessing providers, despite there being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600,000 licensed providers in the United States.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Poor clinical outcomes and lack of care continuity.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Enormous societal cost.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Elevated healthcare system spend.</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believe virtual is the ideal modality for mental health treatment, and our platform is purpose-built to address the traditional constraints through a full range of virtual services exclusively focused on behavioral health. Our offering is highly differentiated, and we believe we are well-positioned to address the unmet needs in behavioral health, delivering significantly enhanced access at attractive price points and delivering meaningful clinical outcomes.</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believe there is significant total global addressable market opportunity for our services, driven in part by the access we believe our model provides to unlock unaddressed patient populations. In the United States alone, it is estimated that one in every five Americans suffer from mental illness every year, spread across all ethnic, socio-economic and age ranges, and that less than half of those in need receive care. This mental health pandemic has only been exacerbated by the COVID-19 pandemic, with a 2020 study finding that the prevalence of depression symptoms grew three-fold since the COVID-19 pandemic began.</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believe this market opportunity exists due in part to structural limitations in the traditional behavioral healthcare model such as slow adoption of technology to treat and monitor patients, reactive-to-care delivery that can lead to inconsistent outcomes, difficulties quantifying outcomes, and lack of reimbursement and insurance coverage leading to misaligned incentives.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overcome these hurdles and achieve our mission of providing more people with convenient access to quality, affordable behavioral healthcare, we built a technology platform with the belief that the right solution can make care more personalized and effective. Our position as innovators in behavioral health is demonstrated by a series of major achievements since our formation in 2012:</w:t>
      </w:r>
    </w:p>
    <w:p>
      <w:pPr>
        <w:spacing w:after="0" w:line="74" w:lineRule="exact"/>
        <w:rPr>
          <w:sz w:val="20"/>
          <w:szCs w:val="20"/>
          <w:color w:val="auto"/>
        </w:rPr>
      </w:pPr>
    </w:p>
    <w:p>
      <w:pPr>
        <w:ind w:left="760" w:right="20" w:hanging="378"/>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 leading consumer brand in behavioral healthcare: </w:t>
      </w:r>
      <w:r>
        <w:rPr>
          <w:rFonts w:ascii="Arial" w:cs="Arial" w:eastAsia="Arial" w:hAnsi="Arial"/>
          <w:sz w:val="18"/>
          <w:szCs w:val="18"/>
          <w:color w:val="auto"/>
        </w:rPr>
        <w:t>Our brand awareness continues to be instrumental in driving patient penetration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Addressing a wide spectrum of care: </w:t>
      </w:r>
      <w:r>
        <w:rPr>
          <w:rFonts w:ascii="Arial" w:cs="Arial" w:eastAsia="Arial" w:hAnsi="Arial"/>
          <w:sz w:val="17"/>
          <w:szCs w:val="17"/>
          <w:color w:val="auto"/>
        </w:rPr>
        <w:t>We offer virtual psychotherapy and psychiatry services at scale across B2C and B2B channels.</w:t>
      </w:r>
    </w:p>
    <w:p>
      <w:pPr>
        <w:spacing w:after="0" w:line="115" w:lineRule="exact"/>
        <w:rPr>
          <w:rFonts w:ascii="Arial" w:cs="Arial" w:eastAsia="Arial" w:hAnsi="Arial"/>
          <w:sz w:val="17"/>
          <w:szCs w:val="17"/>
          <w:color w:val="auto"/>
        </w:rPr>
      </w:pPr>
    </w:p>
    <w:p>
      <w:pPr>
        <w:ind w:left="760" w:hanging="378"/>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solution: </w:t>
      </w:r>
      <w:r>
        <w:rPr>
          <w:rFonts w:ascii="Arial" w:cs="Arial" w:eastAsia="Arial" w:hAnsi="Arial"/>
          <w:sz w:val="18"/>
          <w:szCs w:val="18"/>
          <w:color w:val="auto"/>
        </w:rPr>
        <w:t>We offer affordable care with a transparent pricing model and a clear commitment to high-quality service,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behavioral care access to underserved populations.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Integrated technology platform: </w:t>
      </w:r>
      <w:r>
        <w:rPr>
          <w:rFonts w:ascii="Arial" w:cs="Arial" w:eastAsia="Arial" w:hAnsi="Arial"/>
          <w:sz w:val="18"/>
          <w:szCs w:val="18"/>
          <w:color w:val="auto"/>
        </w:rPr>
        <w:t>Our proprietary matching algorithm and machine-learning tools provide real-time engagement insights, inform</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and track clinical progress.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Machine-learning powered clinicians’ sourcing and credentialing: </w:t>
      </w:r>
      <w:r>
        <w:rPr>
          <w:rFonts w:ascii="Arial" w:cs="Arial" w:eastAsia="Arial" w:hAnsi="Arial"/>
          <w:sz w:val="17"/>
          <w:szCs w:val="17"/>
          <w:color w:val="auto"/>
        </w:rPr>
        <w:t>This process has allowed us to build a national network of high-quality</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licensed providers.</w:t>
      </w: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76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No overhead and administrative costs for clinicians: </w:t>
      </w:r>
      <w:r>
        <w:rPr>
          <w:rFonts w:ascii="Arial" w:cs="Arial" w:eastAsia="Arial" w:hAnsi="Arial"/>
          <w:sz w:val="18"/>
          <w:szCs w:val="18"/>
          <w:color w:val="auto"/>
        </w:rPr>
        <w:t>Our platform enables providers to spend less time in administrative tasks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scheduling, invoicing and taking notes, vis-a-vis private practices, and spend more time treating patients.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Privacy and stigma-free access: </w:t>
      </w:r>
      <w:r>
        <w:rPr>
          <w:rFonts w:ascii="Arial" w:cs="Arial" w:eastAsia="Arial" w:hAnsi="Arial"/>
          <w:sz w:val="18"/>
          <w:szCs w:val="18"/>
          <w:color w:val="auto"/>
        </w:rPr>
        <w:t>Talkspace data is fully encrypted, consistent with HIPAA and other state regulatory requirements and assessed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by external privacy and security advisors.</w:t>
      </w:r>
    </w:p>
    <w:p>
      <w:pPr>
        <w:spacing w:after="0" w:line="62"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Collaborations with mental health champions: </w:t>
      </w:r>
      <w:r>
        <w:rPr>
          <w:rFonts w:ascii="Arial" w:cs="Arial" w:eastAsia="Arial" w:hAnsi="Arial"/>
          <w:sz w:val="18"/>
          <w:szCs w:val="18"/>
          <w:color w:val="auto"/>
        </w:rPr>
        <w:t>Our collaborations with Michael Phelps draw awareness and seek to humanize the day-to-day</w:t>
      </w:r>
      <w:r>
        <w:rPr>
          <w:rFonts w:ascii="Arial" w:cs="Arial" w:eastAsia="Arial" w:hAnsi="Arial"/>
          <w:sz w:val="18"/>
          <w:szCs w:val="18"/>
          <w:i w:val="1"/>
          <w:iCs w:val="1"/>
          <w:color w:val="auto"/>
        </w:rPr>
        <w:t xml:space="preserve"> </w:t>
      </w:r>
      <w:r>
        <w:rPr>
          <w:rFonts w:ascii="Arial" w:cs="Arial" w:eastAsia="Arial" w:hAnsi="Arial"/>
          <w:sz w:val="18"/>
          <w:szCs w:val="18"/>
          <w:color w:val="auto"/>
        </w:rPr>
        <w:t>battle with mental illness.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platform is purpose-built to personalize treatment and drive outcomes with technology encompassing every step of our members’ treatment journey, which we believe is critical to drive care continuity and impact. Beginning with our secure mobile app, members are able to seamlessly provide information so that we can assess their condition and incorporate their preferences. We then leverage our proprietary algorithm to match members and providers, allowing for an optimized start of the relationship, which we believe is a key factor in delivering care continuity. Communication then occurs via live video and private messaging in a fully-encrypted virtual chat room. If deemed necessary, providers can decide to administer standardized tests to diagnose the disease and identify the best treatment plan. Throughout these patient interactions, our providers have access to our exclusive care delivery platform built for improving outcomes, featuring provider tools for case management, enhanced diagnosis, treatment planning, stress and resilience programming, risk mitigation, and clinical progress tracking. Providing multilayer insights through our data dashboards, providers can make informed, outcome-driven decisions to enhance the quality of care. In addition, since inception, we have expanded to support medication management and a variety of behavioral conditions for adults, adolescents, and couples.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that, through our platform, our providers are empowered with unique insights and capabilities that enable meaningful clinical outcomes. Additionally, our technology analyzes and manages our scaled provider network through a host of outcomes and satisfaction-focused metrics, providing an opportunity to chart both the patient and provider simultaneously in order to drive meaningful outcomes. Our platform capabilities also enable and continuously enhance evidence of care, care continuity, outcomes metrics and data-based learnings, built into a robust electronic health record (“EHR”) network. The depth of capabilities of this EHR network are only possible in part because of our virtual delivery model, whereas we believe much of this would be unachievable in traditional behavioral care settings.</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vast nationwide network of fully-credentialed providers, consisting of both psychotherapists and psychiatrists, across all 50 U.S. states. To ensure a high degree of success with our initial provider and member matching, we have built a diverse network inclusive of over 21 clinical specialties, over 30 languages spoken, approximately 30% people of color, and approximately 20% at or under the age of 35. Our network is sustained and enhanced by an attractive value proposition to our providers, including flexibility, convenience, efficiency, professional development opportunities and income. We designed our provider network to be scalable and to leverage a hybrid model of both employee providers and independently contracted providers to support multiple growth scenarios.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another differentiating feature of our value proposition is that it aligns the incentives of all stakeholders across members, providers, plans and employers by simultaneously delivering (1) meaningful clinical outcomes and improved access to care; (2) affordable treatment with a platform designed to elevate member experience and engagement; (3) expanded reach to patients, providing lower administrative costs and flexibility to providers and (4) lower overall public healthcare costs through improved chronic-disease and co-morbidity incidence.</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revenues were $113.7 million and $76.2 million for the years ended December 31, 2021 and 2020, respectively, representing a period-over-period increase of 49.2%. In recent periods, we have seen an improvement in our utilization rates for our services and expect this trend to continue post-COVID-</w:t>
      </w:r>
    </w:p>
    <w:p>
      <w:pPr>
        <w:spacing w:after="0" w:line="1" w:lineRule="exact"/>
        <w:rPr>
          <w:sz w:val="20"/>
          <w:szCs w:val="20"/>
          <w:color w:val="auto"/>
        </w:rPr>
      </w:pPr>
    </w:p>
    <w:p>
      <w:pPr>
        <w:ind w:firstLine="8"/>
        <w:spacing w:after="0" w:line="243"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incurred net losses of $62.7 million and $22.4 million for the year ended December 31, 2021 and 2020, respectively, primarily due to our investments in growth initiatives.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Offerings</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Through our platform, we provide psychotherapy and psychiatry services to individuals, employers and health plans through both B2C and B2B channels. In psychotherapy, or “talk therapy”, members work with a licensed therapist or counselor to treat specific mental health conditions like depression or anxiety, trauma and other human challenges, including by developing positive thinking and coping skills. In psychiatry, members receive personalized, expert care from a prescriber who specializes in mental healthcare and prescription management.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By seeking to eliminate barriers in accessing and utilizing mental healthcare and offering providers technology-enabled tools to provide high-quality clinical care with a data-driven approach to treatment, we offer our members a robust ecosystem for end-to-end behavioral healthcare.</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Psychotherapy</w:t>
      </w:r>
      <w:r>
        <w:rPr>
          <w:rFonts w:ascii="Arial" w:cs="Arial" w:eastAsia="Arial" w:hAnsi="Arial"/>
          <w:sz w:val="18"/>
          <w:szCs w:val="18"/>
          <w:color w:val="auto"/>
        </w:rPr>
        <w:t>: We offer text, audio and video-based psychotherapy from licensed therapists directly to consumers in the B2C channel.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sign up for individual plans (i.e., Unlimited Messaging Therapy Plus, Unlimited Messaging Therapy Premium, Unlimited Messaging Therapy Ultimate, Talkspace Couples Therapy and Talkspace Teens Therapy) inclusive of text, video and audio messaging. In the B2B channel, psychotherapy services are offered through both employers and health plans.</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Through </w:t>
      </w:r>
      <w:r>
        <w:rPr>
          <w:rFonts w:ascii="Arial" w:cs="Arial" w:eastAsia="Arial" w:hAnsi="Arial"/>
          <w:sz w:val="18"/>
          <w:szCs w:val="18"/>
          <w:i w:val="1"/>
          <w:iCs w:val="1"/>
          <w:color w:val="auto"/>
        </w:rPr>
        <w:t>Talkspace for Business</w:t>
      </w:r>
      <w:r>
        <w:rPr>
          <w:rFonts w:ascii="Arial" w:cs="Arial" w:eastAsia="Arial" w:hAnsi="Arial"/>
          <w:sz w:val="18"/>
          <w:szCs w:val="18"/>
          <w:color w:val="auto"/>
        </w:rPr>
        <w:t xml:space="preserve">, employees access our platform services on a benefit plan paid by the employer. Through </w:t>
      </w:r>
      <w:r>
        <w:rPr>
          <w:rFonts w:ascii="Arial" w:cs="Arial" w:eastAsia="Arial" w:hAnsi="Arial"/>
          <w:sz w:val="18"/>
          <w:szCs w:val="18"/>
          <w:i w:val="1"/>
          <w:iCs w:val="1"/>
          <w:color w:val="auto"/>
        </w:rPr>
        <w:t>Talkspace Employee Assistance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Program </w:t>
      </w:r>
      <w:r>
        <w:rPr>
          <w:rFonts w:ascii="Arial" w:cs="Arial" w:eastAsia="Arial" w:hAnsi="Arial"/>
          <w:sz w:val="18"/>
          <w:szCs w:val="18"/>
          <w:color w:val="auto"/>
        </w:rPr>
        <w:t>(“EAP”) and</w:t>
      </w:r>
      <w:r>
        <w:rPr>
          <w:rFonts w:ascii="Arial" w:cs="Arial" w:eastAsia="Arial" w:hAnsi="Arial"/>
          <w:sz w:val="18"/>
          <w:szCs w:val="18"/>
          <w:i w:val="1"/>
          <w:iCs w:val="1"/>
          <w:color w:val="auto"/>
        </w:rPr>
        <w:t xml:space="preserve"> Talkspace Behavioral Health plan </w:t>
      </w:r>
      <w:r>
        <w:rPr>
          <w:rFonts w:ascii="Arial" w:cs="Arial" w:eastAsia="Arial" w:hAnsi="Arial"/>
          <w:sz w:val="18"/>
          <w:szCs w:val="18"/>
          <w:color w:val="auto"/>
        </w:rPr>
        <w:t>(“BH”), we contract with a number of U.S. health plans to provide online therapy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EAP and behavioral health benefits. These programs provide support and resources to enhance employees’ well-being and productivity, such as mental health, financial planning and work/life balance. Talkspace is also an accepted provider of behavioral health services by several large healthcare payors, including Aetna, Cigna, Premera and Optum.</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Psychiatry</w:t>
      </w:r>
      <w:r>
        <w:rPr>
          <w:rFonts w:ascii="Arial" w:cs="Arial" w:eastAsia="Arial" w:hAnsi="Arial"/>
          <w:sz w:val="18"/>
          <w:szCs w:val="18"/>
          <w:color w:val="auto"/>
        </w:rPr>
        <w:t>: Services are provided both to B2C consumers via the Talkspace platform, and through B2B health plans and employers. In both the B2C and</w:t>
      </w:r>
      <w:r>
        <w:rPr>
          <w:rFonts w:ascii="Arial" w:cs="Arial" w:eastAsia="Arial" w:hAnsi="Arial"/>
          <w:sz w:val="18"/>
          <w:szCs w:val="18"/>
          <w:i w:val="1"/>
          <w:iCs w:val="1"/>
          <w:color w:val="auto"/>
        </w:rPr>
        <w:t xml:space="preserve"> </w:t>
      </w:r>
      <w:r>
        <w:rPr>
          <w:rFonts w:ascii="Arial" w:cs="Arial" w:eastAsia="Arial" w:hAnsi="Arial"/>
          <w:sz w:val="18"/>
          <w:szCs w:val="18"/>
          <w:color w:val="auto"/>
        </w:rPr>
        <w:t>B2B channels, typical packages include one initial video consultation, with follow-up video appointments as needed. Like the traditional face-to-face model, Talkspace providers can prescribe medication they deem necessary up and until the point, that in the providers discretion, the member requires a face-to-face provider for potential need of those prescriptions labeled a “controlled substance” under the federal Controlled Substances Act. Our psychiatry services are comprised of board-certified psychiatrists, as well as prescription-eligible nurse practitioners who may supplement the psychiatrist in follow-up visits and act in a medication management capacity.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pursuit of our mission to expand access to all individuals in need of behavioral services, we strive to deliver effective care to a broad range of customers through both our B2C and B2B channels.</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Within our B2C channel, we serve a diverse customer base, with our members coming from all socioeconomic backgrounds, ages, genders, ethnicities, geographies and income level. Further, with both psychotherapy and psychiatry professionals, along with a comprehensive suite of self-help tools, our platform is designed to address the needs of members across a broad range of acuities. Our provider base has a diverse range of clinical expertise, with over 21 specializations, and is able to provide high quality care to all behavioral conditions. As of December 31, 2021, we had approximately 24,000 B2C active members located across all 50 U.S. states and select international markets.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In our B2B channel, we serve our health plan clients and enterprise clients and their respective employees and members through multiple offerings.</w:t>
      </w:r>
    </w:p>
    <w:p>
      <w:pPr>
        <w:spacing w:after="0" w:line="115" w:lineRule="exact"/>
        <w:rPr>
          <w:sz w:val="20"/>
          <w:szCs w:val="20"/>
          <w:color w:val="auto"/>
        </w:rPr>
      </w:pPr>
    </w:p>
    <w:p>
      <w:pPr>
        <w:jc w:val="both"/>
        <w:ind w:left="760" w:hanging="378"/>
        <w:spacing w:after="0" w:line="279"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Health Plan Clients</w:t>
      </w:r>
      <w:r>
        <w:rPr>
          <w:rFonts w:ascii="Arial" w:cs="Arial" w:eastAsia="Arial" w:hAnsi="Arial"/>
          <w:sz w:val="16"/>
          <w:szCs w:val="16"/>
          <w:color w:val="auto"/>
        </w:rPr>
        <w:t>: Through our EAP offering, we contract with major payor clients who are contracted with employers to deliver care.</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this solution, we are able to provide therapy and psychiatry services for our clients’ employees, who then pay a flat rate per session or interaction, of which we receive a portion of the fee. Through our BH offering, our members receive care directly covered through their individual health plan where our providers are considered in-network. Our members pay a flat co-pay per session or interaction, of which we receive a portion of the fee. A representative sample of our health plan clients include Aetna, Cigna, Optum and Premera.</w:t>
      </w:r>
    </w:p>
    <w:p>
      <w:pPr>
        <w:spacing w:after="0" w:line="51" w:lineRule="exact"/>
        <w:rPr>
          <w:rFonts w:ascii="Arial" w:cs="Arial" w:eastAsia="Arial" w:hAnsi="Arial"/>
          <w:sz w:val="16"/>
          <w:szCs w:val="16"/>
          <w:color w:val="auto"/>
        </w:rPr>
      </w:pPr>
    </w:p>
    <w:p>
      <w:pPr>
        <w:jc w:val="both"/>
        <w:ind w:left="760" w:hanging="378"/>
        <w:spacing w:after="0" w:line="24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Enterprise Clients</w:t>
      </w:r>
      <w:r>
        <w:rPr>
          <w:rFonts w:ascii="Arial" w:cs="Arial" w:eastAsia="Arial" w:hAnsi="Arial"/>
          <w:sz w:val="18"/>
          <w:szCs w:val="18"/>
          <w:color w:val="auto"/>
        </w:rPr>
        <w:t>: Through our direct-to-employer offering, we contract directly with employers to provide their employees unlimited</w:t>
      </w:r>
      <w:r>
        <w:rPr>
          <w:rFonts w:ascii="Arial" w:cs="Arial" w:eastAsia="Arial" w:hAnsi="Arial"/>
          <w:sz w:val="18"/>
          <w:szCs w:val="18"/>
          <w:i w:val="1"/>
          <w:iCs w:val="1"/>
          <w:color w:val="auto"/>
        </w:rPr>
        <w:t xml:space="preserve"> </w:t>
      </w:r>
      <w:r>
        <w:rPr>
          <w:rFonts w:ascii="Arial" w:cs="Arial" w:eastAsia="Arial" w:hAnsi="Arial"/>
          <w:sz w:val="18"/>
          <w:szCs w:val="18"/>
          <w:color w:val="auto"/>
        </w:rPr>
        <w:t>asynchronous care primarily on a per-member-per-month (“PMPM”) basis. A representative sample of our enterprise clients include Accenture, Blackstone, Expedia and Google.</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we are increasingly chosen as a preferred vendor for higher education and government clients. Through our contracts with colleges, universities and Greek letter organizations, we provide mental health solutions to students and student athletes across the United States. We additionally hold a number of employer benefits and EAP relationships with municipalities across the United States. As of December 31, 2021, we had approximately 69 million eligible lives within our B2B channel.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Platform</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that virtual therapy offers an attractive opportunity to improve behavioral health through data science and machine learning. Through digital phenotyping and predictive modeling, the data imprint left by interactions on our platform opens a new,</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quantitative viewpoint into the behavioral condition of our members. By securely leveraging our unique dataset to identify patterns, which is augmented by advanced, data-driven tools to personalize care, we believe we are able to optimize clinical outcomes. We have designed our technology platform and information practices to achieve and maintain compliance with HIPAA and other legal requirements regarding the confidentiality of patient information. We maintain a written privacy and information security management program, led by designated subject matter experts, in order to (i) limit how we will use and disclose the protected health information of the members who utilize our technology platform or therapeutic services, (ii) implement reasonable administrative, physical, and technical safeguards to protect such information from misuse, and (iii) assist our customers with certain duties such as access to information under the privacy standards, among other program elements. We require our agents and subcontractors who have access to such information to enter into written agreements to meet the same standards for security and privacy. We obtain third-party examinations of our controls relating to security and data privacy. Certain examinations are conducted under Statement on Standards for Attestation Engagements, or SSAE, No. 16 (Reporting on Controls at a Service Organization). In particular, we regularly obtain a Type II Service Organization Control SOC 2 report (Reporting on Controls at a Service Organization relevant to security, availability and privacy), most recently in August 2021, which noted we had effective controls over our platform. We also retain outside consultants to regularly assess our compliance with the HIPAA Security Rule, including performing assessments of our risks and vulnerabilities.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technology-enabled process flow that supports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143510</wp:posOffset>
            </wp:positionV>
            <wp:extent cx="4877435" cy="2082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7743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Matching algorithm</w:t>
      </w:r>
      <w:r>
        <w:rPr>
          <w:rFonts w:ascii="Arial" w:cs="Arial" w:eastAsia="Arial" w:hAnsi="Arial"/>
          <w:sz w:val="18"/>
          <w:szCs w:val="18"/>
          <w:color w:val="auto"/>
        </w:rPr>
        <w:t>: We utilize machine learning to predict a provider’s efficacy at onboarding. Our matching algorithm combines information from both</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structured and unstructured sources to predict which therapists have the greatest chance of success with each patient. Our matching model concurrently gathers client and therapist data and screens the therapists’ population to match the patient’s characteristics, clinical needs and preferences. Our machine learning technology also enables us to track the frequency and quality of clinical interactions, allowing us to provide a better therapist match should the patient request a new clinician.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129540</wp:posOffset>
            </wp:positionV>
            <wp:extent cx="4311650" cy="2254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165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Robust data ecosystem</w:t>
      </w:r>
      <w:r>
        <w:rPr>
          <w:rFonts w:ascii="Arial" w:cs="Arial" w:eastAsia="Arial" w:hAnsi="Arial"/>
          <w:sz w:val="16"/>
          <w:szCs w:val="16"/>
          <w:color w:val="auto"/>
        </w:rPr>
        <w:t>: We have a closed-loop data ecosystem providing a multi-dimensional view of the individuals who seek treatment on our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This data provides a holistic picture of each user – the problems they manifest, diagnoses, treatment plans, medical history, personal history, and clinical outcomes. Our data contain over 5 billion words sent by millions of users over 100 million anonymized messages. We have over 1 million completed psychological assessments. Our data contain information about members collected by therapists, including over 500,000 diagnoses and 800,000 progress and psychotherapy notes. Our data also contains information about therapists reported by members, including over 800,000 therapist ratings. We believe the size and depth of our clinical data is vast relative to the industry and is a differentiating element of our digitally-native modality.</w:t>
      </w:r>
    </w:p>
    <w:p>
      <w:pPr>
        <w:spacing w:after="0" w:line="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Empowering providers to deliver enhanced care</w:t>
      </w:r>
      <w:r>
        <w:rPr>
          <w:rFonts w:ascii="Arial" w:cs="Arial" w:eastAsia="Arial" w:hAnsi="Arial"/>
          <w:sz w:val="18"/>
          <w:szCs w:val="18"/>
          <w:color w:val="auto"/>
        </w:rPr>
        <w:t>: Our providers are equipped with tools that allow them to optimize time utilization and improve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One of the leading challenges in behavioral healthcare is a patient’s premature termination of engagement with the provider and, thus, a core focus of our machine learning strategy is to drive member engagement and increase care continuity, helping members to continue treatment long enough to reap its benefits. In order to extend the lifetime duration of our member base, we provide our providers insights on their patients’ needs and behaviors and offer techniques and suggestions that we believe are likely to maximize their patients’ satisfaction and engagement. These insights, delivered through our fully-integrated artificial intelligence platform, help providers to deliver effective treatments to their patients, and raise members’ awareness when tracking their own clinical progress.</w:t>
      </w:r>
    </w:p>
    <w:p>
      <w:pPr>
        <w:spacing w:after="0" w:line="8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Performance tracking and feedback</w:t>
      </w:r>
      <w:r>
        <w:rPr>
          <w:rFonts w:ascii="Arial" w:cs="Arial" w:eastAsia="Arial" w:hAnsi="Arial"/>
          <w:sz w:val="18"/>
          <w:szCs w:val="18"/>
          <w:color w:val="auto"/>
        </w:rPr>
        <w:t>: Our “Intro and Expectations” system detects whether providers have followed best practices in the crucial</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introductory phase of the therapy relationship and reminds them to do so if they have not. Our “Crisis Risk system” monitors all incoming members’ messages for linguistic features associated with potential danger or self-harm and draws providers’ attention to these cases. Our “Session Highlights system” provides a weekly digest of patient messages and helps therapists draft notes on clinical progress. Our “Patient Engagement Monitor system” processes each new message sent on the platform and updates the projected probability of patient engagement based on previous behavior and the content of each message.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view as competitors those companies whose primary business is developing and marketing telehealth and virtual behavioral health platforms and services. Competition focuses on, among other factors, technology, breadth and depth of functionality, range of associated services, operational experience, customer support, extent of client and member bases, and reputation. Our key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competitors in the telehealth and teletherapy markets are American Well Corporation, Teladoc, Included Health, MDLive, BetterHelp, Lyra Health and Headspace, among other small industry participants.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large, well-financed health systems and health plans have in some cases developed their own virtual behavioral health tools and may provide these solutions to their consumer at discounted prices. Competition may also increase from large technology companies, such as Apple, Amazon, Meta, Verizon, or Microsoft, who may wish to develop their own virtual behavioral health solutions, as well as from large retailers like Amazon or Walmart. With the emergence of COVID-19, and in particular the relaxation of privacy and security requirements under the Health Insurance Portability and Accountability Act of 1996 (“HIPAA”), we have also seen increased competition from consumer-grade video solutions, such as Zoom Video and Twilio. We believe that the breadth of our existing client and member bases, the depth of our technology platform, and our business-to-business focus on promoting existing healthcare brands and integrating freely with multiple platforms increases the likelihood that stakeholders seeking to develop virtual behavioral healthcare solutions will choose instead to collaborate with Talkspace.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Therapists, Physicians and Healthcare Professionals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completing the transition of our structure with respect to our relationships with healthcare providers, transitioning to a structure where Talkspace LLC and Talkspace Network LLC have entered into various agreements with a Texas professional association entity, TPN, which in turn is contracting with our affiliated professional entities and physicians, therapists, and other licensed professionals for clinical and professional services provided to our members. We expect to conclude the transition by the third quarter of 2022, understanding that tax and accounting functions will continue to update for the rest of the fiscal year.</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This transition is in response to our expansion of service offerings to include telepsychiatry services provided through licensed physicians. Our business initially began with arranging the delivery of virtual counseling and psychotherapy services, which are predominantly provided by non-physician professionals. Currently, all telepsychiatry services are being provided through independent contractor arrangements with our network licensed physicians who maintain exclusive control and responsibility over all medical aspects of the services provided to our members during the period prior to the completion of the transition. Although we believe we were operating in compliance with applicable regulatory laws, including laws that prohibit business entities, such as us, from providing professional services, employing certain healthcare professionals and exercising control over professional judgment (such activities generally referred to as the “corporate practice of medicine”), with the addition of telepsychiatry as a service offering, we decided to transition our provider network structure to a model that was well-understood and common in jurisdictions that prohibit the corporate practice of medicine. We believe the transition to a structure where we would enter into various management services agreements (“MSA”) with TPN, or an entity authorized by state law to contract with our affiliated professionals to delivery teletherapy services to our members, will better ensure we will be able to comply with additional regulatory requirements, including the corporate practice of medicine and fee-splitting laws, that are necessarily implicated by engaging in telehealth care that can only be delivered by physicians. Notably, because certain activities other than those directly related to the delivery of healthcare may be considered an element of the practice of medicine in certain states, we believe we have structured the MSA in each state so as to not violate any of these unique restrictions.</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will have the power to direct the activities of TPN and the other authorized entities in each state that will most significantly impact TPN’s and such other authorized entities’ economic performance as well as have the obligation to absorb significant losses and receive the benefits of TPN and the authorized entities. TPN is wholly owned by an independent Texas -licensed physician. Due to the prevalence of the corporate practice of medicine doctrine, including in the states where we predominantly conduct our business, we are finalizing certain agreements with TPN, including the MSA under which we will provide exclusive administrative, management and other business support services to TPN in exchange for a management fee. The non-medical functions and services we will provide under the MSA include billing, scheduling and other non-clinical services and staffing, the maintenance of medical, billing and accounting records, legal, human resources and the administration of quality assurance, and administration of a risk management program on behalf of TPN, as well as a license to use Talkspace technology and branding. TPN reserves exclusive control and responsibility for all aspects of the practice of medicine and the delivery of medical services. TPN will also directly employ or contract other professional entities, physicians, therapists and other licensed professionals who will provide clinical and professional services to our members.</w:t>
      </w:r>
    </w:p>
    <w:p>
      <w:pPr>
        <w:spacing w:after="0" w:line="72"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These affiliated providers will also retain exclusive control and responsibility for all aspects of medical services provided to our members. Additionally, TPN is required to maintain medical malpractice insurance for covered providers as well as appropriate general liability, directors and officers, workers compensation and employment practices insurance. The MSA will have a long multi-year term unless earlier terminated upon mutual agreement of the parties or unilaterally by a party following a material default under the MSA by the non-terminating party.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intend to sign MSAs with other TPN affiliated entities to provide similar administrative and management services for a management fee consistent with applicable corporate practice of medicine, fee-splitting and foreign entity requirements in each state.</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are also in the process of finalizing a stock transfer restriction agreement between TPN and its current owner, which outlines the conditions under which we can ensure a transfer of the ownership of TPN to a different licensed provider.</w:t>
      </w:r>
    </w:p>
    <w:p>
      <w:pPr>
        <w:spacing w:after="0" w:line="63"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Once the transition with TPN is complete, TPN and its affiliated professional entities will collect revenue from (i) patients directly, (ii) patient’s health plans or (iii) enterprise clients for each consultation performed on Talkspace telehealth and teletherapy platforms by its employed or contracted physicians, therapists and other licensed professionals. TPN in turn will pay the providers a per consult fee, or via an hourly or annual rate.</w:t>
      </w:r>
    </w:p>
    <w:p>
      <w:pPr>
        <w:spacing w:after="0" w:line="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Although the contracting party under our current agreements with clients, members, providers and other business partners may change from Talkspace to TPN or an affiliated professional entity as a result of this transition, we do not anticipate that this transition will have a material financial impact on our operations. Through the mechanics set out in the MSAs and the management fee for administrative and management services set forth in our agreements with TPN, we do not expect there will be a material change in the overall economics of the business relationships we previously held with our clients, members, providers and other business partners. However, if there are regulatory challenges to our arrangements with TPN, we may have to restructure arrangements or enter into new agreements with other professional entities, which could result in changes to the economic relationships.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Talkspace provides individuals and licensed therapists, psychologists and psychiatrists with an online platform for one-on-one therapy delivered via messaging, audio and video. The Company’s workforce is critical to the creation and delivery of its services and the success of the company. Our ability to attract, develop and retain talented employees with the skills and capabilities needed by its business is a key component of our long-term growth and our mission of providing more people with convenient access to quality, affordable behavioral healthcare.</w:t>
      </w:r>
    </w:p>
    <w:p>
      <w:pPr>
        <w:spacing w:after="0" w:line="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of December, 2021, we had 496 employees, of whom 480 were located in the U.S. and 16 were located abroad. None of our employees are represented by a labor union or party to a collective bargaining agreement. We have never experienced any work stoppages or strikes as a result of labor disputes. During the COVID-19 pandemic, the Company transitioned over 95% of its employees to remote working while implementing additional safety measures for employees continuing on-site work.</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capabilities of the Company’s workforce have continued to evolve along with the Company’s business and strategy. During the COVID-19 pandemic, the pace of this evolution increased, as changing consumer behavior accelerated the shift towards digital products and services. As the company has grown, we have also created new internal processes and systems, which the Company expects to increase collaboration across its employees and optimize the productivity and efficiency of its workforce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 and Values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committed to maintaining a respectful, secure and supportive workplace culture with open communication and accessible, safe channels for feedback. In addition, all employees are required to complete training and affirm compliance with the Talkspace Code of Business Conduct and Ethics (the “Code”), which confirms the Company’s policy to conduct its affairs in compliance with all applicable laws and regulations and observe the highest standards of business ethics. The Code is reviewed regularly by the Audit Committee and approved by the Board of Directors, and is complemented by other policies and training. Any violations of our Code are encouraged to be immediately reported and are kept anonymously.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Talkspace is committed to creating and maintaining a workplace in which all employees have an opportunity to participate and contribute to the success of the business. Talkspace provides equal employment opportunities to all employees and applicants for employment without regard to race, color, ancestry, national origin, gender, sexual orientation, marital status, religion, age, disability, gender identity, results of genetic testing, or service in the military. Equal employment opportunity applies to all terms and conditions of employment, including hiring, placement, promotion, separation, transfers, compensation, and training. The Company is committed to cultivating diversity and broadening opportunities for inclusion across its business through its recruitment practices, employee development and mentoring and inclusivity programs.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is committed to hiring the most qualified candidates to fill open positions. Whenever appropriate and possible, open positions are filled with internal candidates to help team members in their career development and enrich a culture of growth. Compensation and benefits programs are focused on attracting, retaining and motivating the top talent necessary to achieve the Company’s mission in ways that reflect its diverse workforce’s needs and priorities. In addition to competitive salaries, the Company and its businesses have established short and long-term incentive programs including stock-based compensation awards and cash-based performance bonus awards, which are designed to motivate and reward performance against key business objectives and facilitate retention. Performance bonus allocations are provided based on the organization meeting its financial goals, the employee achieving goals set by their supervisor, and per the employment agreements and/or any other written agreement. In addition, the Company provides a range of retirement benefits and other comprehensive benefit options to meet the needs of its employees, including healthcare benefits, tax advantaged savings vehicles, life and disability insurance, paid time off, flexible working arrangements, generous parental leave policies and access to wellness programs.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growth mindset culture begins with valuing learning over knowing – seeking out new ideas, driving innovation, embracing challenges, learning from failure, and improving over time. The Company strives to provide mentorship and career development to existing employees to help everyone on the team reach their full potential and employees are encouraged to reach out to their supervisors, if further development training is needed. Whenever possible, the Company’s policy is to promote current employees rather than hiring external people. When position vacancies occur, the supervisor or manager will determine whether there are eligible candidates within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Regulation</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operations are subject to comprehensive United States federal, state and local and international regulation in the jurisdictions in which we do business. Our ability to operate profitably will depend in part upon our ability, and that of our affiliated providers, to maintain all necessary licenses and to operate in compliance with applicable laws and rules. Those laws and rules continue to evolve, and we therefore devote significant resources to monitoring developments in healthcare and medical practice regulation.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We cannot be assured that a review of our business by courts or regulatory authorities will not result in determinations that could adversely affect our operations or that the healthcare regulatory environment will not change in a way that impacts our operations.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response to the COVID-19 pandemic, state and federal regulatory authorities loosened or removed a number of regulatory requirements in order to increase the availability of telehealth and teletherapy services. For example, many state governors issued executive orders permitting physicians and other health care professionals to practice in their state without any additional licensure or by using a temporary, expedited or abbreviated licensure process so long as they hold a valid license in another state. In addition, changes were made to the Medicare and Medicaid programs (through waivers and other regulatory authority) to increase access to telehealth and teletherapy services by, among other things, increasing reimbursement, permitting the enrollment of out of state providers and eliminating prior authorization requirements. It is uncertain how long these COVID-19 related regulatory changes will remain in effect and whether they will continue beyond this public health emergency period.</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believe that a return to the status quo would not have a material negative impact on any commercial agreements we have entered into during 2021 and 2020. Each of these agreements has a defined term and generally do not allow for immediate termination for convenience by the client in question. For many healthcare companies engaging in telehealth and teletherapy, the most significant potential concern about returning to the status quo is the restrictions on the reimbursement of telehealth and teletherapy visits to federal or state healthcare program beneficiaries, such as when a patient presents to a medical professional from a rural area or at a clinical site.</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Currently, TPN and our affiliated network providers does not perform these kinds of consultations. All patients who experienced a first-time visit with any network provider during the pandemic would be able to continue using the platform. In light of that, we do not believe that the visit volume on our platform or visit revenue will materially decrease based on a return to the status quo from a regulatory perspective. In fact, we believe that such a return would benefit the Company as the renewed enforcement of HIPAA regulations may force many marginal telehealth platforms out of the marketplace, thereby lessening our competition.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Telehealth and Teletherapy Provider Licensing, Medical Practice, Certification and Related Laws and Guidelines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practice of medicine, including the provision of therapy services, is subject to various federal, state and local certification and licensing laws, regulations, approvals and standards, relating to, among other things, the adequacy of medical care, the practice of medicine and licensed professional services (including the provision of remote care), equipment, personnel, operating policies and procedures and the prerequisites for the prescription of medication and ordering of tests. The application of some of these laws to telehealth and teletherapy is unclear and subject to differing interpretation.</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Physicians, therapists and other licensed professionals who provide professional medical and therapy services to a patient via telehealth and teletherapy must, in most instances, hold a valid license to practice medicine or another licensed profession in the state in which the patient is located. We have established systems for ensuring that TPN and our affiliated professionals are appropriately licensed under applicable state law and that their provision of telehealth and teletherapy to our members occurs in each instance in compliance with applicable rules governing telehealth and teletherapy. Failure to comply with these laws and regulations could result in licensure actions against the professionals, our services being found to be non-reimbursable, or prior payments being subject to recoupments and can give rise to civil, criminal or administrative penalties.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 Laws in the U.S.; Fee Splitting</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contract with physicians or physician owned professional associations and professional corporations and therapists to provide access to our platform to them and their patients. We are in the process of finalizing a MSA with TPN and may enter into direct management services contracts with other TPN affiliated entities pursuant to which we provide them with billing, scheduling and a wide range of other administrative and management services, and they pay us for those services via management and other service fees. These contractual relationships are subject to various state laws that prohibit fee splitting or the corporate practice of medicine or professional services by lay entities or persons and that are intended to prevent unlicensed persons from interfering with or influencing a physician’s or another licensed professional’s clinical judgment. Activities other than those directly related to the delivery of healthcare may be considered an element of the practice of medicine in many states. Under the corporate practice of medicine and other licensed profession restrictions of certain states, decisions and activities such as contracting, setting rates and the hiring and management of personnel may implicate the restrictions on the corporate practice of medicine or a licensed profession.</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State corporate practice of medicine or other licensed profession and fee splitting laws and rules vary from state to state. In addition, these requirements are subject to broad interpretation and enforcement by state regulators. Some of these requirements may apply to us even if we do not have a physical presence in the state, based solely on our engagement of a provider licensed in the state or the provision of telehealth and teletherapy to a resident of the state. Thus, regulatory authorities or other parties, including our providers, may assert that, despite these arrangements, we are engaged in the corporate practice of medicine or a licensed profession or that our contractual arrangements with affiliated providers constitute unlawful fee splitting. In such event, failure to comply could lead to adverse judicial or administrative action against us and/or our affiliated providers, civil, criminal or administrative penalties, receipt of cease and desist orders from state regulators, loss of provider licenses, the need to make changes to the terms of engagement of our providers that interfere with our business, and other materially adverse consequences.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Fraud and Abuse Laws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Applicable and potentially applicable U.S. federal and state healthcare laws and regulations include, but are not limited, to the following.</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Federal Stark Law</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in the future some of our revenues come from federal health care programs, we will be subject to the federal self-referral prohibitions, commonly known as the Stark Law. Where applicable, this law prohibits a physician from referring Medicare patients for “designated health services” such as laboratory and other diagnostic services and prescription drugs that are furnished at an entity if the physician or a member of such physician’s immediate family has a “financial relationship” with the entity, unless an exception applies. Sanctions for violating the Stark Law include denial of payment, civil monetary penalties of up to $26,125 per claim submitted and exclusion from the federal health care programs. Failure to refund amounts received as a result of a prohibited referral on a timely basis may constitute a false or fraudulent claim and may result in civil penalties and additional penalties under the federal False Claims Act (“FCA”). The statute also provides for a penalty of up to $174,172 for a circumvention scheme. The Stark Law is a strict liability statute, which means proof of specific intent to violate the law is not required. In addition, the government and some courts have taken the position that claims presented in violation of the various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statutes, including the Stark Law, can be considered a violation of the FCA (described below) based on the contention that a provider impliedly certifies compliance with all applicable laws, regulations and other rules when submitting claims for reimbursement. A determination of liability under the Stark Law for TPN or our affiliated physicians could have a material adverse effect on our business, financial condition and results of operations.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Federal Anti-Kickback Statute</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will also be subject to the federal Anti-Kickback Statute if any of our services become reimbursable by government healthcare programs. The Anti-Kickback Statute is broadly worded and prohibits the knowing and willful offer, payment, solicitation or receipt of any form of remuneration in return for, or to induce, (i) the referral of a person covered by Medicare, Medicaid or other governmental programs, (ii) the furnishing or arranging for the furnishing of items or services reimbursable under Medicare, Medicaid or other governmental programs or (iii) the purchasing, leasing or ordering or arranging or recommending purchasing, leasing or ordering of any item or service reimbursable under Medicare, Medicaid or other governmental programs. Certain federal courts have held that the Anti-Kickback Statute can be violated if “one purpose” of a payment is to induce referrals. In addition, a person or entity does not need to have actual knowledge of this statute or specific intent to violate it to have committed a violation, making it easier for the government to prove that a defendant had the requisite state of mind or “scienter” required for a violation. Moreover, the government may assert that a claim including items or services resulting from a violation of the Anti-Kickback Statute constitutes a false or fraudulent claim for purposes of the FCA, as discussed below. Violations of the federal Anti-Kickback Statute may result in civil monetary penalties up to $105,563 for each violation, plus up to three times the remuneration involved. Civil penalties for such conduct can further be assessed under the FCA. Violations of the federal Anti-Kickback Statute can also result in criminal penalties, including criminal fines of more than $100,000 and imprisonment of up to 10 years. Similarly, violations can result in exclusion from participation in government healthcare programs, including Medicare and Medicaid. Imposition of any of these remedies could have a material adverse effect on our business, financial condition and results of operations, if in the future we provide services reimbursable by government healthcare programs. In addition to a few statutory exceptions, the Office of Inspector General (“OIG”) has published safe-harbor regulations that outline categories of activities that are deemed protected from prosecution under the Anti-Kickback Statute provided all applicable criteria are met. The failure of a financial relationship to meet all of the applicable safe harbor criteria does not necessarily mean that the particular arrangement violates the Anti-Kickback Statute. However, conduct and business arrangements that do not fully satisfy each applicable safe harbor may result in increased scrutiny by government enforcement authorities, such as the OIG.</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False Claims Act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Both federal and state government agencies have continued civil and criminal enforcement efforts as part of numerous ongoing investigations of healthcare companies and their executives and managers. Although there are a number of civil and criminal statutes that can be applied to healthcare providers, a significant number of these investigations involve the FCA. These investigations can be initiated not only by the government but also by a private party asserting direct knowledge of fraud. These “qui tam” whistleblower lawsuits may be initiated against any person or entity alleging such person or entity has knowingly or recklessly presented, or caused to be presented, a false or fraudulent request for payment from the federal government, or has made a false statement or used a false record to get a claim approved. In addition, the improper retention of an overpayment for 60 days or more is also a basis for an FCA action, even if the claim was originally submitted appropriately. Penalties for FCA violations include fines ranging from $11,803 to $23,607 for each false claim, plus up to three times the amount of damages sustained by the federal government. An FCA violation may provide the basis for exclusion from the federally funded healthcare programs.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State Fraud and Abuse Laws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Several states in which we operate have also adopted or may adopt similar self-referral, anti-kickback, fraud, whistleblower and false claims laws as described above. The scope of these laws and the interpretations of them vary by jurisdiction and are enforced by local courts and regulatory authorities, each with broad discretion. Some state fraud and abuse laws apply to items or services reimbursed by Medicaid programs and any third-party payer, including commercial insurers or to any payer, including to funds paid out of pocket by a patient. A determination of liability under such state fraud and abuse laws could result in fines and penalties and restrictions on our ability to operate in these jurisdictions.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Healthcare Laws</w:t>
      </w:r>
    </w:p>
    <w:p>
      <w:pPr>
        <w:spacing w:after="0" w:line="10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HIPAA established several separate criminal penalties for making false or fraudulent claims to insurance companies and other non-governmental payers of healthcare services.</w:t>
      </w: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Under HIPAA, these two additional federal crimes are: “Healthcare Fraud” and “False Statements Relating to Healthcare Matters.” The Healthcare Fraud statute prohibits knowingly and recklessly executing a scheme or artifice to defraud any healthcare benefit program, including private payers. A violation of this statute is a felony and may result in fines, imprisonment, or exclusion from government sponsored programs. The False Statements Relating to Healthcare Matters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or imprisonment. This statute could be used by the government to assert criminal liability if a healthcare provider knowingly fails to refund an overpayment. These provisions are intended to punish some of the same conduct in the submission of claims to private payers as the federal False Claims Act covers in connection with governmental health programs.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the Civil Monetary Penalties Law imposes civil administrative sanctions for, among other violations, inappropriate billing of services to federally funded healthcare programs and employing or contracting with individuals or entities who are excluded from participation in federally funded healthcare programs. Moreover,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$10,000 for each wrongful act. Furthermore,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State and Federal Health Information Privacy and Security Laws</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There are numerous U.S. federal and state laws and regulations related to the privacy and security of personal information, including health information. In particular, HIPAA imposes a number of requirements on covered entities and their business associates relating to the use, disclosure and safeguarding of protected health information. These requirements include uniform standards of common electronic healthcare transactions; privacy and security regulations; and unique identifier rules for employers, health plans and providers. In addition, the Health Information Technology for Economic and Clinical Health Act, or HITECH, provisions of the American Recovery and Reinvestment Act of 2009 and corresponding implementing regulations have imposed additional requirements on the use and disclosure of protected health information such as additional breach notification and reporting requirements, contracting requirements for HIPAA business associate agreements, strengthened enforcement mechanisms and increased penalties for HIPAA violations. Federal consumer protection laws may also apply in some instances to privacy and security practices related to personal information.</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Violations of HIPAA may result in civil and criminal penalties. However, a single breach incident can result in violations of multiple standards. Our management responsibilities to TPN include assisting it with its obligations under HIPAA’s breach notification rule. Under the breach notification rule, covered entities must notify affected individuals without unreasonable delay in the case of a breach of unsecured protected health information (“PHI”), which may compromise the privacy, security or integrity of the PHI. In addition, notification must be provided to U.S. Department of Health and Human Services (“HHS”) and the local media in cases where a breach affects more than 500 individuals. Breaches affecting fewer than 500 individuals must be reported to HHS on an annual basis. HIPAA also requires a business associate to notify its covered entity clients of breaches by the business associate.</w:t>
      </w:r>
    </w:p>
    <w:p>
      <w:pPr>
        <w:spacing w:after="0" w:line="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HIPAA also required HHS to adopt national standards for electronic transactions that all healthcare providers must use when submitting or receiving certain healthcare transactions electronically. On January 16, 2009, HHS released the final rule mandating that everyone covered by HIPAA must implement ICD 10 for medical coding on October 1, 2013, which was subsequently extended to October 1, 2015 and is now in effect.</w:t>
      </w:r>
    </w:p>
    <w:p>
      <w:pPr>
        <w:spacing w:after="0" w:line="5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Many states in which we operate and in which our patients reside also have laws that protect the privacy and security of sensitive and personal information, including health information. Moreover, state laws may be similar to or even more protective than HIPAA and other federal privacy laws. For example, the laws of the State of California, in which we operate, are more restrictive than HIPAA. Where state laws are more protective than HIPAA, we must comply with the state laws we are subject to, in addition to HIPAA. In certain cases, it may be necessary to modify our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are changing rapidly, and there is discussion of a new federal privacy law or federal breach notification law, to which we may be subject.</w:t>
      </w:r>
    </w:p>
    <w:p>
      <w:pPr>
        <w:spacing w:after="0" w:line="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states’ attorneys general have brought enforcement actions and prosecuted some data breach cases as unfair and/or deceptive acts or practices under the FTC Act and similar state laws. Further, the California Consumer Protection Act of 2018 (the “CCPA”), which took effect in 2020 and to which we are subject,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recent years, there have been a number of well publicized data breaches involving the improper use and disclosure of personal information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provide credit monitoring services and/or other relevant services to impacted individuals. In addition, under HIPAA and pursuant to the related contracts that we enter into with our clients who are covered entities, we must report breaches of unsecured PHI to our clients following discovery of the breach. Notification must also be made in certain circumstances to affected individuals, federal authorities and others.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over time to continue to expand our operations in foreign countries through both organic growth and acquisitions. In such a case, our international operations will be subject to different, and sometimes more stringent, legal and regulatory requirements, which vary widely by jurisdiction, including anti-corruption laws; economic sanctions laws; various data security insurance, tax, tariff and trade laws and regulations; corporate governance; various data security and data protection laws (including the EU General Data Protection Regulation and UK data privacy regime); labor and employment, intellectual property, consumer protection and investment laws and regulations; discriminatory licensing procedures; required localization of records and funds; and limitations on dividends and repatriation of capital. In addition, the expansion of our operations into foreign countries increases our exposure to the anti-bribery, anti-corruption and anti-money laundering provisions of U.S. law, including the FCPA, and corresponding foreign laws, including the UK Bribery Act.</w:t>
      </w:r>
    </w:p>
    <w:p>
      <w:pPr>
        <w:spacing w:after="0" w:line="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FCPA prohibits offering, promising or authorizing others to give anything of value to a foreign government official to obtain or retain business or otherwise secure a business advantage. We also are subject to applicable anti-corruption laws of the jurisdictions in which we operate. Violations of the FCPA and other anti-corruption laws may result in severe criminal and civil sanctions as well as other penalties, and the SEC and the DOJ have increased their enforcement activities with respect to the FCPA. The UK Bribery Act is an anti-corruption law that is broader in scope than the FCPA and applies to all companies with a nexus to the United Kingdom. Disclosures of FCPA violations may be shared with the UK authorities, thus potentially exposing companies to liability and potential penalties in multiple jurisdictions. We have internal control policies and procedures and conduct training and compliance programs for our employees to deter prohibited practices. However, if our employees or agents fail to comply with applicable laws governing our international operations, we may face investigations, prosecutions and other legal proceedings and actions which could result in civil penalties, administrative remedies and criminal sanctions.</w:t>
      </w:r>
    </w:p>
    <w:p>
      <w:pPr>
        <w:spacing w:after="0" w:line="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are subject to regulation by OFAC. OFAC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foreign policy or economy of the United States. In addition, we may be subject to similar regulations in the non-U.S. jurisdictions in which we operate.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It is important to our business that we establish, protect and enforce our intellectual property. We rely on a combination of patent, copyright, trademark and trade secret laws as well as confidentiality procedures, contractual provisions and other legal rights to establish and enforce our brand, proprietary technology and other intellectual property rights.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February 21, 2022, the Company has been approved for one patent related to “System and Method in Monitoring Engagement” which relates to the tracking of therapeutic progress between therapist and client. We also have one patent that is pending and several other conditional applications in the United States. We intend to continue to apply for additional patents relating to our software and technology. We cannot assure you whether any of our patent applications will result in the issuance of a patent or whether the examination process will require us to narrow our claims.</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own and use trademarks and service marks on or in connection with our business and services, including both unregistered marks and registered trademarks in the United States. In addition, we rely on other forms of intellectual property protection including trade secrets, know-how and other unpatented proprietary processes, in each case in support of our business. We make efforts to maintain and protect our intellectual property and the proprietary aspects of our products and technologies, including through the use of nondisclosure agreements and the monitoring of our competitors. Although we take steps to protect our trade secrets and know-how, third parties may independently develop or otherwise gain access to our trade secrets and know-how by lawful means. We require our employees, consultants and certain of our contractors to execute confidentiality agreements in connection with their employment or consulting relationships with us but these agreements may not provide meaningful protection, and we cannot guarantee that we have executed such agreements with all applicable counterparties. Furthermore, these agreements also may be breached, and we may not have an adequate remedy for any such breach. We also require our employees and consultants to disclose and assign to us inventions conceived during the term of their employment or engagement while using our property or which relate to our business. We also license certain intellectual property rights that are used in our business from third parties.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From time to time, we may become involved in legal proceedings relating to intellectual property arising in the ordinary course of our business, including oppositions to our applications for patents, trademarks, challenges to the validity of our intellectual property rights, and claims of intellectual property infringement. We are not presently a party to any such legal proceedings that, in the opinion of our management, would individually or taken together have a material adverse effect on our business, financial condition, results of operations or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Talkspace was originally incorporated as Hudson Executive Investment Corp. (“HEC”), a special purpose acquisition company, in Delaware on October 30, 2019 for the purpose of entering into a merger, share exchange, asset acquisition, stock purchase, recapitalization or other similar business combination with one or more businesses or entities.</w:t>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 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“Second Merger” and, together with the First Merger, the “Business Combination”). In connection with the Business Combination, HEC filed the Certificate of Incorporation and changed its name to “Talkspace, Inc.”.</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website address is talkspace.com. We make available free of charge at the investors section of this website our Annual Reports on Form 10-K, Quarterly Reports on Form 10-Q, Current Reports on Form 8-K, other SEC filings and all amendments to those reports filed or furnished to the Securities and Exchange Commission (“SEC”) pursuant to Section 13(a) or 15(d) of the Exchange Act, as soon as reasonably practicable after we file or furnish such materials to the SEC. The information on our website is not, and will not be deemed to be, a part of this Annual Report on Form 10-K or incorporated into any of our other filings with the SEC, except where we expressly incorporated such information.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In the course of conducting our business operations, we are exposed to a variety of risks. These risks are generally inherent to the healthcare industry or otherwise generally impact virtual behavioral health companies like us.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8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the business of Talkspace, Inc. and its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EARLY STAGE OF GROWTH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we expect to continue, and we may never achieve or sustain profitability.</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incurred significant losses in each period since our inception. We incurred net losses of $62.7 million and $22.4 million for the years ended December 31, 2021 and 2020, respectively. As of December 31, 2021, we had an accumulated deficit of $171.5 million. These losses and accumulated deficit reflect the substantial investments we made to acquire new clients and members and to develop our technology platform. To date, we have derived a substantial majority of our revenue from clients and members who pay for access to our virtual behavioral health platform, and our longer-term results of operations and continued growth will depend on our ability to successfully develop and market new virtual behavioral health products and services that our clients and members want and are willing to purchase. We intend to continue scaling our business to increase our client, member and provider bases, broaden the scope of services we offer, invest in research and development and expand the applications of our technology through which clients and members can access our services. Accordingly, we anticipate that cost of revenue and operating expenses will continue to increase in the foreseeable future. These efforts may prove more expensive than we currently anticipate, and we may not succeed in increasing our revenue sufficiently to offset these higher expenses. In addition, our results of operations would also suffer if our innovations are not responsive to the needs of our clients and members, appropriately timed with market opportunity, effectively brought to market or do not achieve market acceptance. We cannot assure you that we will achieve profitability in the future or that, if we do become profitable, we will be able to sustain or increase profitability. Our prior losses, combined with our expected future losses, have had and will continue to have an adverse effect on our stockholders’ equity and working capital. As a result of these factors, we may need to raise additional capital through debt or equity financings in order to fund our operations, and such capital may not be available on reasonable terms, if at all.</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and the markets we operate in are new and rapidly evolving, which makes it difficult to evaluate our future prospects and the risks and challenges we may encounter.</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business and the markets we operate in are new and rapidly evolving which make it difficult to evaluate and assess the success of our business to date, our future prospects and the risks and challenges that we may encounter. These risks and challenges include our ability to:</w:t>
      </w:r>
    </w:p>
    <w:p>
      <w:pPr>
        <w:spacing w:after="0" w:line="63"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attract new clients and members to our platform and position our platform as a convenient and accepted way to access therapy and psychiatry;</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 our clients and members and encourage them to continue to utilize our platform and services;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new and existing clients and members to rapidly adopt new offerings on our platform;</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 the number of clients and members that use our subscription offerings or the number of subscription programs that we manage;</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 our clients and members that subscribe to our subscription offerings;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gain market acceptance of our services and products with clients and members and maintain and expand such relationships;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providers for inclusion in our platform;</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 and in our industry;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anticipate and respond to macroeconomic changes, and industry pricing benchmarks and changes in the markets in which we operate;</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and enhance the value of our reputation and brand;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manage our growth and business operations;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forecast our revenue and budget for, and manage, our expenses and capital expenditures;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and improve the infrastructure underlying our platform, including our apps and websites and with respect to data protection, intellectual property and cybersecurity; and</w:t>
      </w:r>
    </w:p>
    <w:p>
      <w:pPr>
        <w:spacing w:after="0" w:line="62" w:lineRule="exact"/>
        <w:rPr>
          <w:rFonts w:ascii="Arial" w:cs="Arial" w:eastAsia="Arial" w:hAnsi="Arial"/>
          <w:sz w:val="18"/>
          <w:szCs w:val="18"/>
          <w:color w:val="auto"/>
        </w:rPr>
      </w:pPr>
    </w:p>
    <w:p>
      <w:pPr>
        <w:ind w:left="760" w:hanging="378"/>
        <w:spacing w:after="0" w:line="291"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successfully update our platform, including expanding our platform and offerings into different healthcare products and services, develop and update our software, apps, features, offerings and services to benefit our clients and members and enhance their experience.</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we fail to understand fully or adequately address the challenges that we are currently encountering or that we may encounter in the future, including those challenges described here and elsewhere in this “Risk Factors” section, our business, financial condition and results of operations could be adversely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not grow at the rates we historically have achieved or at all, even if our key metrics may indicate growth, which could have a material adverse effect on the market price of our common stock.</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have experienced significant growth in the last several years, and therefore our recent revenue growth rate and financial performance should not be considered indicative of our future performance. For the year ended December 31, 2021 and 2020, our revenue was $113.7 million and $76.2 million, respectively, representing a 49.2% growth rate. In addition, as a result of the COVID-19 pandemic, we have experienced a significant increase in revenue. The circumstances that have accelerated the growth of our business stemming from the effects of the COVID-19 pandemic may not continue in the future, and future revenues may not grow at these same rates or may decline. For example, during the quarter ended December 31, 2021, revenues from our B2C business declined compared to the previous quarter.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future growth will depend, in part, on our ability to grow our revenue from existing clients and members, to acquire potential future clients and members, to expand our client, member and provider bases, to develop new products and services and to expand internationally. We can provide no assurances that we will be successful in executing on these growth strategies or that, even if our key metrics would indicate future growth, we will continue to grow our revenue or to generate net income. Our ability to execute on our existing sales pipeline, create additional sales pipelines, and expand our client and member bases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clients and members may be slower to adopt our services than we currently anticipate, which could adversely affect our results of operations and growth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to experience significant growth in the scope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virtual behavioral health market is immature and volatile, and if it does not develop, if it develops more slowly than we expect, if we encounter negative publicity or if our services are not competitive, the growth of our business will be harmed.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virtual behavioral health market is relatively new and unproven, and it is uncertain whether it will achieve and sustain high levels of demand, consumer acceptance and market adoption. Our success will depend to a substantial extent on the willingness of our clients and members to use, and to increase the frequency and extent of their utilization of, our services and products, as well as on our ability to demonstrate the value of virtual behavioral healthcare to employers, health plans, government agencies and other purchasers of healthcare for beneficiaries. Our market may depend on our clients and members’ ability to obtain reimbursement from third-party payors, such as health plans and government agencies, as well as our ability to expand our B2B business and contract for direct reimbursement of our services from employers and health plan clients. Third-party payors in the United States may decline or reduce reimbursement for telehealth and teletherapy services, especially those provided through text messaging or other means via technology, and compliance with administrative procedures or requirements of third-party payors may result in delays in processing approvals by those payors for members to obtain coverage for our services. Failure by our members to obtain or maintain coverage or our inability to secure adequate reimbursement for our services could have an adverse effect on our business, results of operations, and financial conditions. We derive a portion of our revenues from third-party payors, and we expect that this amount will continue to increase, so any reductions in reimbursement by third-party payors could have a material and adverse impact on our projected growth. In addition, negative publicity concerning our services or the virtual behavioral health market as a whole could limit market acceptance of our services. If our clients and members do not perceive the benefits of our services and drive member engagement, or if our services are not competitive, then our market may not develop at all, or it may develop more slowly than we expect. Similarly, individual and healthcare industry concerns or negative publicity regarding patient confidentiality and privacy in the context of virtual behavioral healthcare could limit market acceptance of our services. If any of these events occurs, it could have a material adverse effect on our business, financial condition or results of operations.</w:t>
      </w:r>
    </w:p>
    <w:p>
      <w:pPr>
        <w:spacing w:after="0" w:line="16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 outbreak of the novel coronavirus (COVID-19) and its impact on business and economic conditions could adversely affect our business, results of operations and financial condition, and the extent and duration of those effects will be uncertain.</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March 2020, the World Health Organization declared COVID-19 a global pandemic. This contagious outbreak, which has continued to spread, and the related adverse public health developments, including orders to shelter-in-place, travel restrictions and mandated business closures, have adversely affected workforces, organizations, consumers, economies and financial markets globally, leading to an economic downturn and increased market volatility. It has also disrupted the normal operations of many businesses, including ours.</w:t>
      </w:r>
    </w:p>
    <w:p>
      <w:pPr>
        <w:spacing w:after="0" w:line="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a result of the COVID-19 pandemic, our personnel are working remotely, and it is possible that this could have a negative impact on the execution of our business plans and operations.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consumer privacy, IT security and fraud concerns as well as increase our exposure to potential wage and hour issues.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cannot predict with any certainty whether and to what degree the impact caused by the COVID-19 pandemic and reactions thereto will continue which may contribute to difficulty accurately predicting our internal financial forecasts.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outbreak also presents challenges as our workforce is working remotely in helping new and existing clients, members and other consumers, many of whom are also generally working remotely.</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It is not possible for us to accurately predict the duration or magnitude of the results of the COVID-19 and its effects on our business, results of operations or financial condition at this time, but such effects may be material. The COVID-19 pandemic may also have the effect of heightening many of the other risks identified elsewhere in this section.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in our industry presents us with significant risks and challenges.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virtual behavioral health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client and member populations. There is no guarantee that we will possess the resources, either financial or personnel, for the research, design and development of new applications or services, or that we will be able to utilize these resources successfully and avoid technological or market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obsolescence. Further, there can be no assurance that technological advances by one or more of our competitors or future competitors will not result in our present or future software-based products and services becoming uncompetitive or obsolete.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While the virtual behavioral health market is in an early stage of development, it is competitive and we expect it to attract increased competition, which could make it difficult for us to succeed. We currently face competition from a range of companies, including specialized software and solution providers that offer similar solutions and that are continuing to develop additional products and becoming more sophisticated and effective. These competitors include American Well Corporation, Teladoc, Included Health, MDLive, BetterHelp, Lyra Health and Headspace. In addition, large, well-financed health systems and health plans have in some cases developed their own telehealth and teletherapy tools and may provide these solutions to their consumer at discounted prices. Competition may also increase from large technology companies, such as Apple, Amazon, Meta, Google, Verizon, or Microsoft, who may wish to develop their own virtual behavioral health solutions, as well as from large retailers like Amazon or Walmart. The surge in interest in virtual behavioral healthcare, including as a result of the COVID-19 pandemic, and in particular the relaxation of HIPAA privacy and security requirements, has also attracted new competition from providers who utilize consumer-grade video conferencing platforms such as Zoom and Twilio. Competition from large software companies or other specialized solution providers, health systems and health plans, communication tools and other parties could result in continued pricing pressures, which is likely to lead to price declines in certain product segments, which could negatively impact our sales, profitability and market share.</w:t>
      </w:r>
    </w:p>
    <w:p>
      <w:pPr>
        <w:spacing w:after="0" w:line="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consumer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consumer base, more widely adopted proprietary technologies, greater marketing expertise, greater financial resources and larger sales forces than we have, which could put us at a competitive disadvantage.</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competitors could also be better positioned to serve certain segments of the virtual behavioral health market, which could create additional price pressure. In addition, 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clients and members may accept competitive solutions in lieu of purchasing our solution. If we are unable to successfully compete in the virtual behavioral health market, our business, financial condition and results of operations could be materially adversely affected.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currently generate most of our revenues from members who purchase subscription access to our platform. These subscriptions generally have stated initial terms of one-to-six months. We also generate revenues from our enterprise clients, which contracts generally have stated initial terms of one year, unless earlier terminated subject to notice and other requirements. Most of our clients and members have no obligation to renew their subscriptions for our services after the initial term expires. In addition, our clients may negotiate terms less advantageous to us upon renewal, which may reduce our revenue from these clients. Additionally, as we grow our client and member bases, we will need to maintain and grow our network of providers. Certain of our providers are permitted to provide services on other platforms, and therefore, our success will be dependent on our ability to retain and recruit highly trained and licensed therapists, psychiatrists and other providers to our platform. Additionally, our future results of operations depend, in part, on our ability to expand our services and offerings, including broadening our continuum of care. If our clients and members fail to renew their contracts, renew their contracts upon less favorable terms or at lower fee levels or fail to purchase new products and services from us, our revenue may decline or our future revenue growth may be constrained.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Additional factors that could affect our ability to sell products and services include, but are not limited to:</w:t>
      </w:r>
    </w:p>
    <w:p>
      <w:pPr>
        <w:spacing w:after="0" w:line="104"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performance and functionality of our solution;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price, performance and functionality of competing solutions;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sell complementary products and services;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stability, performance and security of our hosting infrastructure and hosting services;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healthcare laws, regulations or trends.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Any of these consequences could lower retention and have a material adverse effect on our business, financial condition and results of operations.</w:t>
      </w:r>
    </w:p>
    <w:p>
      <w:pPr>
        <w:spacing w:after="0" w:line="22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future growth and profitability of our business will depend in large part upon the effectiveness and efficiency of our marketing efforts, and our ability to develop brand awareness cost-effectively.</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Our business success depends on our ability to attract and retain clients and members, which significantly depends on our marketing practices. Our future growth and profitability will depend in large part upon the effectiveness and efficiency of our marketing efforts, including our ability to:</w:t>
      </w:r>
    </w:p>
    <w:p>
      <w:pPr>
        <w:spacing w:after="0" w:line="39"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greater awareness of our brand;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the most effective and efficient levels of spending in each market, media and specific media vehicle;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the appropriate creative messages and media mix for advertising, marketing and promotional expenditures;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manage marketing costs (including creative and media) to maintain acceptable consumer acquisition costs;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 the most effective markets, media and specific media vehicles in which to advertise;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convert consumer inquiries into clients and members.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that developing and maintaining widespread awareness of our brand in a cost-effective manner is critical to achieving widespread adoption of our solution and attracting new clients and members. Our brand promotion activities may not generate consumer awareness or increase revenue, and even if they do, any increase in revenue may not offset the expenses we incur in building our brand. If we fail to successfully promote and maintain our brand, or incur substantial expenses in doing so, we may fail to attract or retain clients and members necessary to realize a sufficient return on our brand-building efforts or to achieve the widespread brand awareness that is critical for broad adoption of our brands.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achieving broad market education and changing consumer purchasing habits.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success and future growth largely depend on our ability to increase consumer awareness of our platform and offerings, and on the willingness of current and potential clients and members to utilize our platform to access information and behavioral health services. We believe the vast majority of consumers make purchasing decisions for behavioral health services on the basis of traditional factors, such as insurance coverage. This traditional decision-making process does not always account for restrictive and complex insurance plans, high deductibles, expensive co-pays and other factors, such as discounts or savings available at alternative therapists or practices. To effectively market our platform, we must educate consumers about the various purchase options and the benefits of using Talkspace for behavioral healthcare, including when such services may not be covered by their health insurance benefits. We focus our marketing and education efforts on potential clients, members and other consumers, but also aim to educate and inform healthcare providers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63"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experience with our company and platform, and concerns that we are relatively new to the industry;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health, safety or quality risks associated with the use of a new platform and applications for therapy and psychiatry;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traditional or existing relationships with therapists, psychiatrists or other providers;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concerns about the privacy and security of the data that consumers and providers share with or through our platform;</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and negative selling efforts from competitors, including competing platforms and price matching programs;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perception regarding the time and complexity of using our platform.</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 that we provide services to.</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order to grow our business, we anticipate that we will continue to depend on our existing and future relationships with third parties, such as third-party payors, including health plans and government agencies, as well as our ability to expand our B2B business with employers and health plan clients that we provide services to. Identifying potential clients,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clients by our competitors could result in a decrease in the number of our current and potential clients and members, as our clients may no longer facilitate the adoption of our applications by potential members. If we are unsuccessful in establishing or maintaining our relationships with third parties that we provide services to, our ability to compete in the marketplace or to grow our revenue could be impaired and our results of operations may suffer. Even if we are successful, we cannot assure you that these relationships will result in increased client use of our services or increased revenue.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virtual behavioral healthcare strategies depend on our ability to maintain and expand our network of therapists, psychiatrists and other providers.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do so, our future growth would be limited and our business, financial condition and results of operations would be harmed.</w:t>
      </w:r>
    </w:p>
    <w:p>
      <w:pPr>
        <w:spacing w:after="0" w:line="11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success is dependent upon our continued ability to maintain a network of highly trained and qualified therapists, psychiatrists and other providers. If we are unable to recruit and retain licensed therapists, psychiatrists and other providers, it would have a material adverse effect on our business and ability to grow and would adversely affect our results of operations.</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any particular market, providers could demand higher payments or take other actions that could result in higher medical costs, less attractive service for our clients or members or difficulty meeting regulatory or accreditation requirements.</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ability to develop and maintain satisfactory relationships with providers also may be negatively impacted by other factors not associated with us, such as changes in Medicare and/or Medicaid reimbursement levels, state therapist or psychiatrist licensing laws and standard of care requirements, and other pressures on healthcare providers and consolidation activity among hospitals, physician groups and healthcare providers. Our failure to maintain or to secure new cost-effective provider contracts may result in a loss of or inability to grow our client and member bases, higher costs, less attractive services for our clients and members and/or difficulty in meeting regulatory or accreditation requirements, any of which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affecting spending by the healthcare industry could adversely affect our business.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U.S. healthcare industry has changed significantly in recent years, and we expect that significant changes will continue to occur. General reductions in expenditures by healthcare industry participants could result from, among other things:</w:t>
      </w:r>
    </w:p>
    <w:p>
      <w:pPr>
        <w:spacing w:after="0" w:line="63" w:lineRule="exact"/>
        <w:rPr>
          <w:sz w:val="20"/>
          <w:szCs w:val="20"/>
          <w:color w:val="auto"/>
        </w:rPr>
      </w:pPr>
    </w:p>
    <w:p>
      <w:pPr>
        <w:ind w:left="760" w:hanging="378"/>
        <w:spacing w:after="0" w:line="261"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regulations or private initiatives that affect the manner in which healthcare providers interact with patients, payors or other healthcare industry participants, including changes in pricing or means of delivery of healthcare products and services;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amendments to, lack of enforcement or development of applicable regulations for, or repeal of The Patient Protection and Affordable Care Act, as amended by the Health Care and Education Reconciliation Act (the “Affordable Care Act” or the “ACA”);</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government funding for healthcare;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changes in business or economic conditions affecting healthcare payors or providers or other healthcare industry participants.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Any of these changes in healthcare spending could adversely affect our revenue. Even if general expenditures by industry participants remain the same or increase, developments in the healthcare industry may result in reduced spending in some or all of the specific market segments that we serve now or in the future.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total addressable market (“TAM”) is based on internal estimates and third-party estimates regarding the size of each of the U.S. and international behavioral health markets and is subject to significant uncertainty and is based on assumptions that may not prove to be accurate. These estimates, as well as the estimates and forecasts we have previously disclosed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media coverage could adversely affect our business.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receive a substantial amount of media coverage in the United States. Unfavorable publicity regarding, among others, the healthcare industry, litigation or regulatory activity, the actions of the entities included or otherwise involved in our platform, virtual behavioral health services included on our platform or by other industry participants, our data privacy or data security practices, our platform or our revenue could materially adversely affect our reputation. For example, prior to the COVID-19 pandemic and the resulting shift towards the acceptance of telehealth solutions, therapists advocacy groups have lobbied the American Psychological Association to reexamine its stance on telemental health, including challenging our contracts with healthcare providers and the efficacy of telemental health, including the use of text messaging. Therapy services are subject to state law requirements, and some states may prohibit the use of text messaging or other forms of technological modalities in delivering telemental health services. With advice of regulatory counsel, we aim to structure our contracts with healthcare providers and deliver telemental health services in compliance with applicable state laws. However, in response to the COVID-19 pandemic and the limitations it created in delivering behavioral health services through in-person interactions, state and federal regulatory authorities loosened or removed a number of regulatory requirements in order to increase the availability of telehealth and teletherapy services, and both providers and patients have increasingly accepted telemental health as an alternative means of delivering and receiving behavioral health services. In addition, from time to time, news media outlets have provided negative coverage regarding our platform and privacy practices and any such negative media coverage, regardless of the accuracy of such reporting, may have an adverse impact on our business and reputation, as well as have an adverse effect on our ability to attract and retain clients, members, other consumers, or employees, and result in decreased revenue, which would materially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social media may adversely impact our reputation, subject us to fines or other penalties or be an ineffective source to market our offerings.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use social media as part of our omnichannel approach to marketing and outreach to clients, members and other consumers. Changes to these social networking services’ terms of use or terms of service that limit promotional communications, restrictions that would limit our ability or our clients’ ability to send communications through their services, disruptions or downtime experienced by these social networking services or reductions in the use of or engagement with social networking services by current and potential clients and members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clients, members or others. Any such inappropriate use of social media could also cause reputational damage and adversely affect our business.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Our clients and members may engage with us online through our social media pages, including, for example, our presence on Facebook, Instagram and Twitter, by providing feedback and public commentary about all aspects of our business. Information concerning us or our platform and offerings,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With respect to our plans for expansion of international operations, we may face political, legal and compliance, operational, regulatory, economic and other risks that we do not face or that are more significant than in our domestic operations.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With respect to our plans for expansion of international operations, we may face political, legal and compliance, operational, regulatory, economic and other risks that we do not face or that are more significant than in our domestic operations. These risks may vary widely by country and include varying regional and geopolitical business conditions and demands, government intervention and censorship, discriminatory regulation, nationalization or expropriation of assets and pricing constraints. Our future international services and products may need to meet country-specific client and member preferences as well as country-specific legal requirements, including those related to healthcare regulatory laws governing telemedicine and teletherapy services, licensing, privacy, data storage, location, protection and security. The interpretation of these laws is evolving and varies significantly from country to county and are enforced by governmental, judicial and regulatory authorities with broad discretion. We cannot be certain that our interpretation of such laws and regulations will be correct in how we plan to structure our international operations, and our arrangements with locally-licensed therapists, psychiatrists or other providers, as well as our international services agreements and client arrangements. Our plans to expand our international operations will require us to overcome logistical and other challenges based on differing languages, cultures, legal and regulatory schemes and time zones. Our international operations may encounter labor laws, customs and employee relationships that can be difficult, less flexible than in our domestic operations and expensive to modify or terminate. In some countries we are required to, or choose to, operate with local business partners, which will require us to manage our partner relationships and may reduce our operational flexibility and ability to quickly respond to business challenges.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Our planned international operations may be subject to particular risks in addition to those faced by our domestic operations, including:</w:t>
      </w:r>
    </w:p>
    <w:p>
      <w:pPr>
        <w:spacing w:after="0" w:line="104"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need to localize and adapt our solution for specific countries, including translation into foreign languages and associated expenses;</w:t>
      </w:r>
    </w:p>
    <w:p>
      <w:pPr>
        <w:spacing w:after="0" w:line="115" w:lineRule="exact"/>
        <w:rPr>
          <w:rFonts w:ascii="Arial" w:cs="Arial" w:eastAsia="Arial" w:hAnsi="Arial"/>
          <w:sz w:val="17"/>
          <w:szCs w:val="17"/>
          <w:color w:val="auto"/>
        </w:rPr>
      </w:pPr>
    </w:p>
    <w:p>
      <w:pPr>
        <w:ind w:left="760" w:hanging="378"/>
        <w:spacing w:after="0" w:line="261"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proprietary information due to misappropriation or laws that may be less protective of our intellectual property rights than U.S. laws or that may not be adequately enforced;</w:t>
      </w:r>
    </w:p>
    <w:p>
      <w:pPr>
        <w:spacing w:after="0" w:line="62"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of foreign laws and other governmental controls, including cross-border compliance challenges related to the complexity of multiple, conflicting and changing governmental laws and regulations, including employment, healthcare, tax, privacy and data protection laws and regulations;</w:t>
      </w:r>
    </w:p>
    <w:p>
      <w:pPr>
        <w:spacing w:after="0" w:line="73"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of foreign laws and other governmental controls applicable to our ability to conduct telehealth and teletherapy services internationally, specifically laws governing remote care and the practice of medicine in such locations;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privacy laws that require that client data be stored and processed in a designated territory;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and different sources of competition and laws and business practices favoring local competitors;</w:t>
      </w:r>
    </w:p>
    <w:p>
      <w:pPr>
        <w:spacing w:after="0" w:line="103" w:lineRule="exact"/>
        <w:rPr>
          <w:rFonts w:ascii="Arial" w:cs="Arial" w:eastAsia="Arial" w:hAnsi="Arial"/>
          <w:sz w:val="18"/>
          <w:szCs w:val="18"/>
          <w:color w:val="auto"/>
        </w:rPr>
      </w:pPr>
    </w:p>
    <w:p>
      <w:pPr>
        <w:ind w:left="760" w:hanging="378"/>
        <w:spacing w:after="0" w:line="291"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export controls and economic sanctions laws and regulations;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central bank and other restrictions on our ability to repatriate cash from international subsidiaries;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 economic instability and inflationary conditions, which could make our solution more expensive or increase our costs of doing business in certain countries;</w:t>
      </w:r>
    </w:p>
    <w:p>
      <w:pPr>
        <w:spacing w:after="0" w:line="62" w:lineRule="exact"/>
        <w:rPr>
          <w:rFonts w:ascii="Arial" w:cs="Arial" w:eastAsia="Arial" w:hAnsi="Arial"/>
          <w:sz w:val="18"/>
          <w:szCs w:val="18"/>
          <w:color w:val="auto"/>
        </w:rPr>
      </w:pPr>
    </w:p>
    <w:p>
      <w:pPr>
        <w:ind w:left="760" w:right="20" w:hanging="378"/>
        <w:spacing w:after="0" w:line="244"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future growth or inability to maintain current levels of revenues from international sales if we do not invest sufficiently in our international operations;</w:t>
      </w: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longer accounts receivable payment cycles and collections issues;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managing and operating our international operations, including difficulties related to administering our stock plans in some foreign countries and increased financial accounting and reporting requirements and complexities;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coordinating the activities of our geographically dispersed and culturally diverse operations;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unrest, war, terrorism or regional natural disasters, particularly in areas in which we have facilities.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overall success regarding our planned expansion in international markets will depend, in part, on our ability to anticipate and effectively manage these risks and there can be no assurance that we will be able to do so without incurring unexpected costs. If we are not able to manage the risks related to expansion of our international operations, we may not achieve the expected benefits of this expansion and our business, financial condition and results of operations may be harmed.</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overall business entails the risk of medical liability claims. Although Talkspace Provider Network, PA (“TPN”) and our affiliated professionals carry or will carry insurance covering medical malpractice claims in amounts that we believe are appropriate in light of the risks attendant to the services rendered, successful medical liability claims could result in substantial damage awards that exceed the limits of TPN’s and those affiliated professionals’ insurance coverage. TPN carries or will carry professional liability insurance for itself and each of its healthcare professionals (our providers). Additionally, all of our network providers that contract or will contract with TPN separately carry or will carry professional liability insurance for itself and its healthcare professionals. Professional liability insurance is expensive and insurance premiums may increase significantly in the future, particularly as we expand our services through TPN and our affiliated professionals. As a result, adequate professional liability insurance may not be available to TPN and our affiliated professionals in the future at acceptable costs or at all, which may negatively impact TPN and our affiliated professionals to provide services to our members, and thereby adversely affect our overall business and operations.</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Any claims made against TPN or our affiliated professionals that are not fully covered by insurance could be costly to defend against, result in substantial damage awards, and divert the attention of our management and our affiliated professional entities from our operations, which could have a material adverse effect on our business, financial condition and results of operations. In addition, any claims may adversely affect our business or reputation.</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 decline in the prevalence of employer-sponsored healthcare or the emergence of new technologies may adversely impact our business-to-business segment or require us to expend significant resources in order to remain competitive.</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U.S. healthcare industry is massive, with a number of large market participants with conflicting agendas, and it is subject to significant government regulation and is currently undergoing significant change. Changes in our industry, for example, such as the emergence of new technologies as more competitors enter our market, could adversely impact our business-to business segment where companies provide Talkspace to their employees as a benefit.</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Some experts have predicted that future healthcare reform will encourage employer-sponsored health insurance to become significantly less prevalent as employees migrate to obtaining their own insurance over the state-sponsored insurance marketplaces. Were this to occur, there is no guarantee that we would be able to compensate for the loss in revenue from employers by increasing sales of our solution to health insurance companies or to individuals or government agencies. In such a case, our results of operations would be adversely impacted.</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healthcare benefits trends shift or entirely new technologies are developed that replace existing solutions, our existing or future solutions could be adversely impacted and our business could be adversely affected. In addition, we may experience difficulties with industry standards, design or marketing that could delay or prevent our development, introduction or implementation of new applications and enhancements.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platforms such as the Apple App Store and Google Play App Store, to distribute our platform and offerings.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Thus,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apps on their platforms. In addition,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virtual behavioral health services.</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147"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i w:val="1"/>
          <w:iCs w:val="1"/>
          <w:color w:val="auto"/>
        </w:rPr>
        <w:t>We rely on data center providers, Internet infrastructure, bandwidth providers, third-party computer hardware and software, other third parties and our own systems for providing services to our clients and members, and any failure or interruption in the services provided by these third parties or our own systems could expose us to litigation and negatively impact our relationships with clients and members, adversely affecting our brand and our business.</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serve all of our clients and members from third party interconnection and data centers, such as Amazon Web Services. While we control and have access to our servers, we do not control the operation of these facilities. The cloud vendors and the owners of our data center facilities have no obligation to renew their agreements with us on commercially reasonable terms, or at all. If we are unable to renew these agreements on commercially reasonable terms, or if one of our cloud vendors or data center operators is acquired, we may be required to transfer our servers and other infrastructure to a new vendor or a new data center facility, and we may incur significant costs and possible service interruption in connection with doing so. Problems faced by our cloud vendors or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members. Our third-party data center operators could decide to close their facilities without adequate notice. In addition, any financial difficulties, such as bankruptcy faced by our cloud vendors or third-party data centers operators or any of the service providers with whom we or they contract may have negative effects on our business, the nature and extent of which are difficult to predict.</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Additionally, if our cloud or data center vendors are unable to keep up with our growing needs for capacity, this could have an adverse effect on our business. For example, a rapid expansion of our business could affect the service levels at our cloud vendors or data centers or cause such data centers and systems to fail. Any changes in third-party service levels at our data centers or any disruptions or other performance problems with our solution could adversely affect our reputation and may damage our clients and members’ stored files or result in lengthy interruptions in our services. Interruptions in our services may reduce our revenue, cause us to issue refunds to clients and members for prepaid and unused subscriptions, as well as loss of revenue related to service level credits and uptime, subject us to potential liability or adversely affect client retention.</w:t>
      </w:r>
    </w:p>
    <w:p>
      <w:pPr>
        <w:spacing w:after="0" w:line="6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including during the period immediately following the beginning of the COVID-19 pandemic, and expect that we may experience in the future, interruptions and delays in services and availability from time to time. In the event of a catastrophic event with respect to one or more of our systems, we may experience an extended period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system unavailability, which could negatively impact our relationship with clients and members. To operate without interruption, both we and our service providers must guard against:</w:t>
      </w:r>
    </w:p>
    <w:p>
      <w:pPr>
        <w:spacing w:after="0" w:line="63"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from fire, power loss, natural disasters and other force majeure events outside our control;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 the right to use any of this hardware or software could result in delays in the provisioning of our services until equivalent technology is either developed by us, or, if available from third parties, is identified, obtained and integrated.</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exercise limited control over third-party vendors, which increases our vulnerability to problems with technology and information services they provide. Interruptions in our network access and services may in connection with third-party technology and information services reduce our revenue, cause us to issue refunds to clients and members, subject us to potential liability or adversely affect client retention. Although we maintain a security and privacy damages insurance policy, the coverage under our policies may not be adequate to compensate us for all losses that may occur related to the services provided by our third-party vendors. In addition, we may not be able to continue to obtain adequate insurance coverage at an acceptable cost, if at all.</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ability to rely on these services of third-party vendors could be impaired as a result of the failure of such providers to comply with applicable laws, regulations and contractual covenants, or as a result of events affecting such providers, such as power loss, telecommunication failures, software or hardware errors, computer viruses, cyber incidents and similar disruptive problems, fire, flood and natural disasters. Any such failure or event could adversely affect our relationships with our clients and members and damage our reputation. This could materially and adversely impact our business, financial condition and operating results.</w:t>
      </w:r>
    </w:p>
    <w:p>
      <w:pPr>
        <w:spacing w:after="0" w:line="189" w:lineRule="exact"/>
        <w:rPr>
          <w:sz w:val="20"/>
          <w:szCs w:val="20"/>
          <w:color w:val="auto"/>
        </w:rPr>
      </w:pPr>
    </w:p>
    <w:p>
      <w:pPr>
        <w:jc w:val="both"/>
        <w:ind w:right="20"/>
        <w:spacing w:after="0" w:line="356" w:lineRule="auto"/>
        <w:rPr>
          <w:sz w:val="20"/>
          <w:szCs w:val="20"/>
          <w:color w:val="auto"/>
        </w:rPr>
      </w:pPr>
      <w:r>
        <w:rPr>
          <w:rFonts w:ascii="Arial" w:cs="Arial" w:eastAsia="Arial" w:hAnsi="Arial"/>
          <w:sz w:val="15"/>
          <w:szCs w:val="15"/>
          <w:b w:val="1"/>
          <w:bCs w:val="1"/>
          <w:i w:val="1"/>
          <w:iCs w:val="1"/>
          <w:color w:val="auto"/>
        </w:rPr>
        <w:t>If our or our vendors’ security measures fail or are breached and unauthorized access to a client’s data or information systems is obtained, our services may be perceived as insecure, we may incur significant liabilities, our reputation may be harmed, and we could lose sales, clients and members.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services involve the storage and transmission of clients’ and our clients and members’ proprietary information, sensitive or confidential data, including valuable intellectual property and personal information of employees, clients, members and others, as well as the protected health information (“PHI”), of our clients and members. We are subject to laws and regulations relating to the collection, use, retention, security and transfer of this information.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cyber-attacks by computer hackers such as denial-of-service and phishing attacks,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persons accessing sensitive client or member data (including PHI), a loss of or damage to our data, an inability to access data sources, or process data or provide our services to our clients and members. Such failures or breaches of our or our third-party vendors’ security measures, or our or our third-party vendors’ inability to effectively resolve such failures or breaches in a timely manner, could severely damage our reputation, adversely affect client, patient, member or investor confidence in us, and reduce the demand for our services from existing and potential clients and members. In addition, we could face litigation, damages for contract breach, monetary penalties, or regulatory actions for violation of applicable laws or regulations and incur significant costs for remedial measures to prevent future occurrences and mitigate past violations. Although we maintain insurance covering certain security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Data privacy is also subject to frequently changing laws, rules and regulations in the various jurisdictions in which we operate. Such initiatives around the country could increase the cost of developing, implementing or securing our servers and require us to allocate more resources to improved technologies, adding to our IT and compliance costs. Our Board of Directors is briefed periodically on cybersecurity and risk management issues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Should an attacker gain access to our network, including by way of example, using compromised credentials of an authorized user, we are at risk that the attacker might successfully leverage that access to compromise additional systems and data. Certain measures that we currently have in place in order to increase the security of our systems, such as data encryption (including data at rest encryption), heightened monitoring and logging, scanning for source code errors or deployment of multi-factor authentication, take significant time and resources to deploy broadly, and such measures may not be deployed in a timely manner or be effective against an attack. 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information systems must be continually updated, patched and upgraded to protect against known vulnerabilities. The volume of new vulnerabilities has increased markedly, as has the criticality of patches and other remedial measures. In addition to remediating newly identified vulnerabilities, previously identified vulnerabilities must also be continuously addressed. Accordingly, we are at risk that cyber-attackers exploit these known vulnerabilities before they have been addressed. Any failure related to these activities and any breach of our information systems could result in significant liability and/or have a material adverse effect on our business, reputation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experience losses or liability not covered by insurance.</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business exposes us to risks that are inherent in the provision of virtual behavioral healthcare and access to remote, virtual healthcare and therapy. If clients, members or other individuals assert liability claims against us, any ensuing litigation, regardless of outcome, could result in a substantial cost to us, divert management’s attention from operations, and decrease market acceptance of our solution. We attempt to limit our liability to clients and members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 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adverse tax, legal and other consequences if the employment status of providers on our platform is challenged.</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There is often uncertainty in the application of worker classification laws, especially in the medical field where individuals are required to hold professional licenses, and, consequently, there is risk that providers could be deemed to be misclassified under applicable law. We and TPN structure our relationships with the majority of our respective providers in a manner that we believe results in an independent contractor relationship, not an employee relationship. The tests governing whether a service provider is an independent contractor, or an employee are typically highly fact sensitive and vary by governing law.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our and TPN’s providers are properly characterized as independent contractors, tax or other regulatory authorities may in the future challenge our characterization of these relationships.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Medicare,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or other liability, and any adverse determination, including potentially the requirement for us to indemnify a user, could also harm our brand, which could materially and adversely affect our business, prospects, financial condition and results of operations. While these risks are mitigated, in part, by our contractual rights of indemnification against third-party claims, such indemnification agreements could be determined to be unenforceable or costly to enforce and indemnification under such agreements may otherwise prove inadequate. As a result, any determination that our and/or TPN’s providers are employees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may become subject, from time to time, to legal proceedings, payer audits, investigations, and claims that arise in the ordinary course of business such as claims brought by our clients in connection with commercial disputes or employment claims made by our current or former associates. Litigation and audits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subject to evolving EU and UK privacy laws on cookies and e-marketing. In the EU and the UK, under national laws derived from the ePrivacy Directive, informed consent is required for the placement of a cookie or similar technologies on a user’s device and generally for direct electronic marketing to consumers. The General Data Protection Regulation (“GDPR”) also imposes conditions on obtaining valid consent, such as a prohibition on pre-checked consents and a requirement to ensure separate consents are sought for each type of cookie or similar technology. The current national laws that implement the ePrivacy Directive are highly likely to be replaced across the EU (but not directly in the UK) by an EU regulation known as the ePrivacy Regulation which will significantly increase fines for non-compliance. While the text of the ePrivacy Regulation is still under development, recent European court decisions regarding the consent requirements and regulators’ recent guidance are driving increased attention to cookies and tracking technologies. For example, in December 2020 the French data protection regulator (the CNIL) imposed fines of EUR 100M and EUR 35M respectively against certain Google and Amazon entities for alleged breaches of cookies consent and transparency requirements; and in December 2021, the CNIL imposed fines of EUR 150M and EUR 60M respectively against certain Google and Meta entities for alleged failures to allow users to easily reject cookies. In addition, NYOB (a not for profit organization led by Max Schrems) has recently issued approximately 500 complaints to European website operators regarding their cookie banners and referred 422 of these to relevant national regulators and has said that it aims to scan, warn and seek enforcement on up to 10,000 websites in Europe. If the trend of increasing enforcement by regulators of the strict approach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restrictions and impairments on our marketing and personalization activities and may negatively impact our efforts to understand users.</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response to marketplace concerns about the usage of third-party cookies and web beacons to track user behaviors, providers of major browsers have included features that allow users to limit the collection of certain data generally or from specified websites. In addition, 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 enable cookies to be set, and Apple has announced that its new mobile operating system will require consumers to opt in to the use of Apple’s resettable device identifier for advertising purposes.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 These developments could impair our ability to collect user information, including personal data and usage information, that helps us provide more targeted advertising to our current and prospective consumers, which could adversely affect our business, given our use of cookies and similar technologies to target our marketing and personalize the consumer experience.</w:t>
      </w:r>
    </w:p>
    <w:p>
      <w:pPr>
        <w:spacing w:after="0" w:line="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laws could adversely affect our operating results and financial condition.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United States enacted tax reform legislation in 2017 (the “Tax Cuts and Jobs Act of 2017”) that, among other things, reduces the U.S. federal corporate income tax rate to 21%, imposes significant limitations on the deductibility of interest and executive compensation, allows for the expensing of capital expenditures, limits the deduction for net operating losses (“NOLs”) to 80% of current year taxable income in respect of losses arising in taxable years beginning after 2017, and modifies or repeals many business deductions and credits. The reduction in the U.S. federal corporate income tax rate is expected to be beneficial to us in future years in which we have net income subject to U.S. tax. The reduction in the U.S. federal corporate income tax rate also resulted in a remeasurement of our deferred tax assets and liabilities. There was no net impact on our deferred tax assets as we maintain a full valuation allowance. On March 27, 2020, the Coronavirus Aid, Relief, and Economic Security Act (the “CARES Act”) was enacted in response to the COVID-19 pandemic. The CARES Act contains certain tax provisions, including provisions that retroactively and/or temporarily suspend or relax in certain respects the application of certain provisions, such as the limitations on the deduction of NOLs and interest, in the Tax Cuts and Jobs Act of 2017.</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There are a number of uncertainties and ambiguities as to the interpretation and application of many of the provisions in the Tax Cuts and Jobs Act of 2017 and the CARES Act. In the absence of guidance on these issues, we will use what we believe are reasonable interpretations and assumptions in interpreting and applying the Tax Cuts and Jobs Act of 2017 and the CARES Act, which may change as we receive additional clarification and implementation guidance. It is also possible that the Internal Revenue Service could issue subsequent guidance or take positions that differ from the interpretations and assumptions that we previously made, which could have a material adverse effect on our cash tax liabilities, results of operations and financial condition.</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w:t>
      </w:r>
    </w:p>
    <w:p>
      <w:pPr>
        <w:spacing w:after="0" w:line="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or similar taxes for virtual behavioral health services which could adversely affect our results of operations.</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State taxing authorities may assert that we had economic nexus with their state and were required to collect sales and use or similar taxes with respect to past or future services that we have provided or will provide, which could result in tax assessments and penalties and interest. The assertion of such taxes against us for past services, or any requirement that we collect sales taxes on its provision of future services, could have a material adverse effect on our business, cash tax liabilities,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attributes may be subject to certain limitations.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At December 31, 2021, the Company has federal and state net operating loss carryovers (“NOL”) of approximately $194.0 million and $180.6 million, respectively, which are available to reduce future taxable income. The NOL carryforwards begin to expire in 2032 and may become subject to annual limitation in the event of certain cumulative changes in the ownership interest of significant stockholders over a three-year period in excess of 50%, as defined under I.R.C. Section 382. This could limit the amount of tax attributes that can be utilized annually to offset future taxable income or future tax liabilities. The federal losses generated from 2018 onward do not expire.</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It is possible that we will not generate taxable income in time to use these net operating loss carryforwards before their expiration (or that we will not generate taxable income at all). Under the Tax Cuts and Jobs Act of 2017, U.S. federal net operating losses incurred in 2018 and in future years may be carried forward indefinitely, but the deductibility of such net operating losses is limited. It is uncertain if and to what extent various states will conform to these in federal tax laws. In addition, the federal and state net operating loss carryforwards and certain tax credits may be subject to significant limitations under Section 382 and Section 383 of the Internal Revenue Code, respectively, and similar provisions of state law.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undertaken an analysis of whether we have experienced an “ownership change” for purposes of Section 382 and Section 383 of the Internal Revenue Code or whether there are any limitations on use with respect to our net operating losses and other tax attributes.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quarterly results of operations, including our revenue, net loss and cash flows, has varied and may vary significantly in the future, and period-to-period comparisons of our results of operations may not be meaningful. Accordingly, our quarterly results should not be relied upon as an indication of future performance. Our quarterly financial results may fluctuate as a result of a variety of factors, many of which are outside of our control, including, without limitation, the following:</w:t>
      </w:r>
    </w:p>
    <w:p>
      <w:pPr>
        <w:spacing w:after="0" w:line="80"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grow the number of clients and members on our platform;</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demand for and types of services that are offered on our platform by providers;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recognition of revenue, including possible delays in the recognition of revenue due to sometimes unpredictable implementation timelines;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w:t>
      </w:r>
    </w:p>
    <w:p>
      <w:pPr>
        <w:spacing w:after="0" w:line="115" w:lineRule="exact"/>
        <w:rPr>
          <w:rFonts w:ascii="Arial" w:cs="Arial" w:eastAsia="Arial" w:hAnsi="Arial"/>
          <w:sz w:val="17"/>
          <w:szCs w:val="17"/>
          <w:color w:val="auto"/>
        </w:rPr>
      </w:pPr>
    </w:p>
    <w:p>
      <w:pPr>
        <w:ind w:left="760" w:hanging="378"/>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effectively manage the size and composition of our network of healthcare providers relative to the level of demand for services from our members and our clients’ members and patients;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client and member retention and the timing and terms of client and member renewals;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03" w:lineRule="exact"/>
        <w:rPr>
          <w:rFonts w:ascii="Arial" w:cs="Arial" w:eastAsia="Arial" w:hAnsi="Arial"/>
          <w:sz w:val="18"/>
          <w:szCs w:val="18"/>
          <w:color w:val="auto"/>
        </w:rPr>
      </w:pPr>
    </w:p>
    <w:p>
      <w:pPr>
        <w:ind w:left="760" w:hanging="378"/>
        <w:spacing w:after="0" w:line="24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mix of products and services sold during a period;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or data privacy breaches and associated remediation costs;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62"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fair values of our financial instruments (including, but not limited to, certain warrants assumed in connection with the Business Combination);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COVID-19 pandemic.</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Most of our revenue in any given quarter is derived from contracts entered into with our clients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 Our subscription model also makes it difficult for us to rapidly increase our total revenue through additional sales in any period, as revenue from new clients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securities.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depend on our senior management team, and the loss of one or more of our executive officers or key employees or an inability to attract and retain highly skilled and diverse employees could adversely affect our business.</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success depends largely upon the continued services of our key members of senior management. These members of senior management are at-will employees and therefore they may terminate employment with us at any time with no advance notice. We also rely on our leadership team in the areas of research and development, marketing, services and general and administrative functions. From time to time, there may be changes in our management team resulting from the hiring or departure of executives, which could disrupt our business. For instance, in November 2021 we announced the departure of Oren Frank, our former Chief Executive Officer and Roni Frank, our former Head of Clinical Services and the appointment of Douglas Braunstein as our interim Chief Executive Officer. We are in the process of searching for a permanent replacement to serve as Chief Executive Officer. The replacement of one or more of our executive officers or other key employees will likely involve significant time and costs and may significantly delay or prevent the achievement of our business objectives. Our business would also be adversely affected if we fail to adequately plan for succession of our executives and senior management; or if we fail to effectively recruit, integrate, retain and develop key talent and/or align our talent with our business needs, in light of the current rapidly changing environment. While we have employment arrangements with a limited number of key executives, these do not guarantee that the services of these or suitable successor executives will continue to be available to us.</w:t>
      </w:r>
    </w:p>
    <w:p>
      <w:pPr>
        <w:spacing w:after="0" w:line="5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success is dependent on our ability to align our talent with our business needs, engage our employees and inspire our employees to be open to change, to innovate and to maintain member- and client-focus when delivering our services. To continue to execute our growth strategy, we also must attract and retain highly skilled personnel. Competition is intense for qualified professionals. 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 In addition, many of the companies with which we compete for experienced personnel have greater resources than we have. In addition, as we expand internationally, we face the challenge of recruiting, integrating, educating, managing, retaining and developing a more culturally diverse workforce.</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addition, in making employment decisions, particularly in high-technology industries, job candidates often consider the value of the stock options or other equity instruments they are to receive in connection with their employment. Volatility in the price of our stock may, therefore, adversely affect our ability to attract or retain highly skilled personnel. Further, the requirement to expense stock options and other equity instruments may discourage us from granting the size or type of stock option or equity awards that job candidates require to join our company. Failure to attract new personnel or failure to retain and motivate our current personnel, could have a material adverse effect on our business, financial condition and results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intend to seek to acquire or invest in businesses, software-based products and services or technologies that we believe could complement or expand our solution, enhance our technical capabilities or otherwise offer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 Additionally, the pursuit of potential acquisitions may divert the attention of management and cause us to incur various expenses in identifying, investigating and pursuing suitable acquisitions, whether or not they are consummated.</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spacing w:after="0" w:line="74"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integrate or benefit from acquired technologies or services in a profitable manner;</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platform and contract terms, including disparities in the revenue, licensing, support or professional services model of the acquired company;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5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Acquisitions could also result in dilutive issuances of equity securities or the incurrence of debt, which could adversely affect our results of operations. In addition, if an acquired business fails to meet our expectations, our business, financial condition and results of operations may suffer.</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Economic uncertainties or downturns in the general economy or the industries in which our clients operate could disproportionately affect the demand for our solution and negatively impact our results of operations.</w:t>
      </w:r>
    </w:p>
    <w:p>
      <w:pPr>
        <w:spacing w:after="0" w:line="6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General worldwide economic conditions have experienced significant downturns during the last ten years, and market volatility and uncertainty remain widespread, making it potentially very difficult for our clients and us to accurately forecast and plan future business activities. During challenging economic times, our clients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clients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ability to conduct telehealth and teletherapy services through our network of providers in a particular jurisdiction is directly dependent upon the applicable laws governing remote care, the practice of medicine and healthcare delivery in general in such location, which are subject to changing political, regulatory and other influences. With respect to telehealth and teletherapy services, in the past, state medical boards have established new rules or interpreted existing rules in a manner that has limited or restricted our ability to conduct our business as it was conducted in other states. Some of these actions have resulted in the suspension or modification of our telehealth and teletherapy operations in 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the law in every jurisdiction in which we operate, on an ongoing basis, and we cannot provide assurance that our activities and arrangements, if challenged, will be found to be in compliance with the law. Although the COVID-19 pandemic has led to the relaxation of certain Medicare, Medicaid and state licensure restrictions on the delivery of telehealth and teletherapy services, it is uncertain how long the relaxed policies will remain in effect, and, there can be no guarantee that once the COVID-19 pandemic is over that such restrictions will not be reinstated or changed in a way that adversely affects our business.</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Additionally, it is possible that the laws and rules governing the practice of medicine, including remote care and prescribing medication online, in one or more jurisdictions may change in a manner deleterious to our business. For instance, a few states have imposed different, and, in some cases, additional, standards regarding the provision of services via telehealth and teletherapy. Some states impose strict standards on using telehealth and teletherapy to prescribe certain classes of controlled substances that 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our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Evolving government regulations may result in increased costs or adversely affect our results of operations.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We have identified what we believe are the areas of government regulation that, if changed, would be costly to us. These include rules governing the practice of medicine by physicians and other licensed professionals;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6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clients, members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products or services from being offered to members and clients, or their members and patients, which could have a material adverse effect on our business, financial condition and results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i w:val="1"/>
          <w:iCs w:val="1"/>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in the process of transitioning to a structure where we will enter into various agreements with a Texas professional association entity, TPN, which in turn will contract with our affiliated professional entities and physicians, therapists, and other licensed professionals for clinical and professional services provided to our members. Once this structure is implemented, there is a risk that U.S. state authorities in some jurisdictions may find that these contractual relationships with professional entities, physicians and other healthcare providers providing telehealth and teletherapy violate laws prohibiting the corporate practice of medicine and professional fee splitting. These laws generally prohibit the practice of medicine by lay persons or entities and prohibit us from employing physicians and certain licensed professionals, directing the clinical practice of physicians and certain licensed professionals, holding an ownership interest in an entity that employs physicians and certain licensed professionals or from engaging in certain financial arrangements, such as splitting professional fees with physicians and certain licensed professionals. The laws are intended to prevent unlicensed persons or entities from interfering with or inappropriately influencing a healthcare provider’s professional judgment. The extent to which each state considers particular actions or contractual relationships to constitute improper influence of professional judgment varies across the states and is subject to change and to evolving interpretations by state boards of medicine and professional counselors and therapists, and state attorneys general, among others. As such, we must monitor our compliance with applicable laws in every jurisdiction in which we operate on an ongoing basis and we cannot guarantee that subsequent interpretation of the corporate practice of medicine or fee splitting laws will not circumscribe our business operations.</w:t>
      </w:r>
    </w:p>
    <w:p>
      <w:pPr>
        <w:spacing w:after="0" w:line="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TPN will contract with therapists and other licensed professionals or enter into agreements with our affiliated professional entities, physicians, therapists and other licensed professionals for the clinical and professional services provided to our members. We do not own TPN or the professional entities with which it will contract. TPN is 100% owned by an independent Texas-licensed physician, and the other professional entities will be owned by physicians qualified to own such professional entities in the respective states. Once fully implemented, we expect that these relationships will continue, however, we cannot guarantee that they will. A material change in our relationship with TPN or among TPN and the contracted professional entities, whether resulting from a dispute among the entities, a change in government regulation, or the loss of these affiliations, could impair our ability to provide services to members as we intend under the transitioned structure and could have a material adverse effect on our business, financial condition, and results of operations.</w:t>
      </w:r>
    </w:p>
    <w:p>
      <w:pPr>
        <w:spacing w:after="0" w:line="8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State corporate practice of medicine doctrines also often impose penalties on physicians themselves for aiding the corporate practice of medicine, which could discourage physicians from participating in our network of providers. Due to the prevalence of the corporate practice of medicine doctrine, including in states where we conduct our business, we are in the process of finalizing certain agreements with TPN. One such agreement is a management services agreement with TPN, pursuant to which TPN reserves exclusive control and responsibility for all aspects of the practice of medicine and the delivery of medical services and we provide non-clinical management and administrative services in exchange for a management fee. The other professional entities, physicians, therapists and other licensed professionals who will provide clinical and professional services to our members through contracts with TPN will also retain exclusive control and responsibility for all aspects of medical services provided to our members. Although we seek to substantially comply with applicable state prohibitions on the corporate practice of medicine and fee splitting, state officials who administer these laws or other third parties may successfully challenge our organization and contractual arrangements with our providers once implemented.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providers to comply with these statutes, could eliminate clients located in certain states from the market for our services. Furthermore, the arrangements we are in the process of finalizing or will enter into to comply with state corporate practice of medicine doctrines and fee splitting laws could subject us to additional scrutiny by federal and state regulatory bodies regarding federal and state fraud and abuse laws. Any scrutiny, investigation, adverse determination or litigation with regard to our arrangements with TPN and our affiliated professional entities could have a material adverse effect on our business, financial condition, and results of operations.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impact on us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industry is subject to changing political, regulatory and other influences. The ACA made major changes in how healthcare is delivered and reimbursed, and it increased access to health insurance benefits to the uninsured and underinsured population of the United States.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For example, the Tax Cuts and Jobs Act of 2017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Since the enactment of the Tax Cuts and Jobs Act of 2017, there have been additional amendments to certain provisions of the ACA. President Joe Biden and Congress may consider other legislation to change elements of the ACA. In December 2019, a federal appeals court held that the individual mandate portion of the ACA was unconstitutional and left open the question whether the remaining provisions of the ACA would be valid without the individual mandate. On June 17, 2021, the U.S. Supreme Court dismissed a case in Texas challenging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continue to evaluate the effect that the ACA and its possible modification or repeal and replacement has on our business. It is uncertain the extent to which any such changes may impact our business or financial condition.</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Other legislative changes have been proposed and adopted since the ACA was enacted. These changes include aggregate reductions to Medicare payments to providers of up to 2% per fiscal year pursuant to the Budget Control Act of 2011 and subsequent laws, which began in 2013 and will remain in effect through 2030,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in 2022, the No Surprises Act went into effect to prevent surprise medical bills to non-federal healthcare program patients. For patients who receive health coverage through their employer, the Marketplace, or an individual health insurance plan, healthcare providers, including psychiatrists and psychologists, are required to give notice explaining applicable billing protections. In addition, in the outpatient setting, beginning January 1, 2022 providers are required to give new and established patients who are uninsured or self-pay a good faith estimate of predicted costs for the services that they provide.</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Such changes in the regulatory environment may also result in changes to our payer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 party payers will pay for healthcare products and services, which could adversely affect our business, financial condition and results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The U.S. healthcare industry is heavily regulated and closely scrutinized by federal and state governments. Comprehensive statutes and regulations govern the manner in which we and our affiliated professional entities may provide and bill for services and collect reimbursement from governmental programs and private payers, our contractual relationships with TPN and its corresponding relationship with its contracted providers, vendors and clients, our marketing activities and other aspects of our operations. Applicable and potentially applicable U.S. federal and state healthcare laws and regulations include, but are not limited, to the following:</w:t>
      </w:r>
    </w:p>
    <w:p>
      <w:pPr>
        <w:spacing w:after="0" w:line="72" w:lineRule="exact"/>
        <w:rPr>
          <w:sz w:val="20"/>
          <w:szCs w:val="20"/>
          <w:color w:val="auto"/>
        </w:rPr>
      </w:pPr>
    </w:p>
    <w:p>
      <w:pPr>
        <w:jc w:val="both"/>
        <w:ind w:left="760" w:hanging="378"/>
        <w:spacing w:after="0" w:line="254"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physician self-referral law, commonly referred to as the Stark Law, that, unless one of the statutory or regulatory exceptions apply,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 the entity from billing Medicare or Medicaid for such designated health services. Sanctions for violating the Stark Law include denial of payment, civil monetary penalties of up to $26,125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a penalty of up to $174,172 for a circumvention scheme;</w:t>
      </w:r>
    </w:p>
    <w:p>
      <w:pPr>
        <w:spacing w:after="0" w:line="72" w:lineRule="exact"/>
        <w:rPr>
          <w:rFonts w:ascii="Arial" w:cs="Arial" w:eastAsia="Arial" w:hAnsi="Arial"/>
          <w:sz w:val="17"/>
          <w:szCs w:val="17"/>
          <w:color w:val="auto"/>
        </w:rPr>
      </w:pPr>
    </w:p>
    <w:p>
      <w:pPr>
        <w:jc w:val="both"/>
        <w:ind w:left="760" w:hanging="378"/>
        <w:spacing w:after="0" w:line="252"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Anti-Kickback Statute that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has been interpreted broadly to be anything of value, and could include compensation, discounts, or free marketing services.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$105,563 for each violation, plus up to three times the remuneration involved. Civil penalties for such conduct can further be assessed under the federal False Claims Act. Violations can also result in criminal penalties, including criminal fines of up to $100,000 and imprisonment of up to 10 years. Similarly, violations can result in exclusion from participation in government healthcare programs, including Medicare and Medicaid;</w:t>
      </w:r>
    </w:p>
    <w:p>
      <w:pPr>
        <w:spacing w:after="0" w:line="77" w:lineRule="exact"/>
        <w:rPr>
          <w:rFonts w:ascii="Arial" w:cs="Arial" w:eastAsia="Arial" w:hAnsi="Arial"/>
          <w:sz w:val="17"/>
          <w:szCs w:val="17"/>
          <w:color w:val="auto"/>
        </w:rPr>
      </w:pPr>
    </w:p>
    <w:p>
      <w:pPr>
        <w:jc w:val="both"/>
        <w:ind w:left="760" w:hanging="378"/>
        <w:spacing w:after="0" w:line="257"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criminal healthcare fraud provisions of the federal Health Insurance Portability and Accountability Act of 1996, as amended by the Health Information Technology for Economic and Clinical Health Act (“HITECH”), and their implementing regulations, which we collectively refer to as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67" w:lineRule="exact"/>
        <w:rPr>
          <w:rFonts w:ascii="Arial" w:cs="Arial" w:eastAsia="Arial" w:hAnsi="Arial"/>
          <w:sz w:val="17"/>
          <w:szCs w:val="17"/>
          <w:color w:val="auto"/>
        </w:rPr>
      </w:pPr>
    </w:p>
    <w:p>
      <w:pPr>
        <w:ind w:left="760" w:hanging="378"/>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HIPAA, which also imposes certain regulatory and contractual requirements regarding the privacy, security and transmission of PHI;</w:t>
      </w:r>
    </w:p>
    <w:p>
      <w:pPr>
        <w:spacing w:after="0" w:line="115" w:lineRule="exact"/>
        <w:rPr>
          <w:rFonts w:ascii="Arial" w:cs="Arial" w:eastAsia="Arial" w:hAnsi="Arial"/>
          <w:sz w:val="17"/>
          <w:szCs w:val="17"/>
          <w:color w:val="auto"/>
        </w:rPr>
      </w:pPr>
    </w:p>
    <w:p>
      <w:pPr>
        <w:jc w:val="both"/>
        <w:ind w:left="760" w:hanging="378"/>
        <w:spacing w:after="0" w:line="241"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False Claims Act that imposes civil and criminal liability, including treble damages and mandatory minimum penalties of $11,803 to $23,607 per false claim or statement, on individuals or entities that knowingly submit false or fraudulent claims for payment to the government or knowingly making, or causing to be made, a false statement in order to have a false claim paid, including qui tam or whistleblower suits. A claim including items or services resulting from a violation of the federal Anti-Kickback Statute constitutes a false or fraudulent claim for purposes of the False Claims Act;</w:t>
      </w:r>
    </w:p>
    <w:p>
      <w:pPr>
        <w:spacing w:after="0" w:line="81" w:lineRule="exact"/>
        <w:rPr>
          <w:rFonts w:ascii="Arial" w:cs="Arial" w:eastAsia="Arial" w:hAnsi="Arial"/>
          <w:sz w:val="18"/>
          <w:szCs w:val="18"/>
          <w:color w:val="auto"/>
        </w:rPr>
      </w:pPr>
    </w:p>
    <w:p>
      <w:pPr>
        <w:jc w:val="both"/>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Civil Monetary Law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760" w:right="2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similar state law provisions pertaining to Anti-Kickback, self-referral and false claims issues, some of which may apply to items or services reimbursed by any third party payer, including commercial insurers or services paid out-of-pocket by patients;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state laws that prohibit general business corporations, such as us, from practicing medicine, controlling physicians’ medical decisions or engaging in some practices such as splitting fees with physicians;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Trade Commission Act and federal and state consumer protection, advertisement and unfair competition laws, which broadly regulate marketplace activities and activities that could potentially harm consumers, including information practices;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that regulate debt collection practices as applied to our debt collection practices;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provision of the Social Security Act that imposes criminal penalties on healthcare providers who fail to disclose or refund known overpayments; and</w:t>
      </w:r>
    </w:p>
    <w:p>
      <w:pPr>
        <w:spacing w:after="0" w:line="62"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and state laws and policies that require healthcare providers to maintain licensure, certification or accreditation to provide physician and other professional services, to enroll and participate in the Medicare and Medicaid programs, to report certain changes in their operations to the agencies that administer these programs, as well as state insurance laws.</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 if in the future we provide services reimbursable by government healthcare programs,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147"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use and disclosure of personal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privacy and security of personal information stored, maintained, received or transmitted electronically is an enforcement priority in the United States and internationally. While we strive to comply with all applicable privacy and security laws and regulations, as well as our own posted privacy policies, legal standards for privacy, including but not limited to “unfairness” and “deception,” as enforced by the FTC and state attorneys general, any failure or perceived failure to comply with such requirements may result in proceedings or actions against us by government entities or private parties, or could cause us to lose clients or members, any of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 information or other privacy-related matters, even if unfounded and even if we are in compliance with applicable laws, could damage our reputation and harm our business.</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United States, numerous federal and state laws and regulations govern collection, storage, dissemination, use, retention, transfer, disposal, security and confidentiality of personal information, including HIPAA; U.S. state privacy, security and breach notification and healthcare information laws; the California Consumer Protection Act (“CCPA”); and other data protection laws.</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HIPAA establishes a set of basic national privacy and security standards for the protection of PHI, to covered entities, including certain types of health care providers and their service providers that access PHI, known as business associates. When acting as a service provider to licensed therapists or employee assistance programs (group health plans), we are considered a business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associate under HIPAA. In some instances we may be considered a covered entity under HIPAA where our own employees are providing direct therapeutic care. As such, HIPAA requires us to maintain policies and procedures governing PHI that is used or disclosed, and to implement administrative, physical and technical safeguards to protect PHI, including PHI maintained, used and disclosed in electronic form. These safeguards include employee training, identifying business associates (and subcontractor business associates) with whom we need to enter into HIPAA-compliant contractual arrangements and various other measures. Ongoing implementation and oversight of these measures involves significant time, effort and expense.</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HIPAA also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the U.S. Department of Health and Human Services Office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Entities that are found to be in violation of HIPAA as the result of a breach of unsecured PHI or following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and prospects.</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to HIPAA, the U.S. federal government and various states and governmental agencies have adopted or are considering adopting various laws, regulations and standards regarding the collection, use, retention, security, disclosure, transfer and other processing of sensitive and personal information, to which we are or may become subject. For example, California implemented the California Consumer Privacy Act, or CCPA, which came into effect in 2020, and to which we are subject. The CCPA imposes obligations and restrictions on businesses regarding their collection, use, processing, retaining and sharing of personal information and provides new and enhanced data privacy rights to California residents.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CCPA provides for civil penalties for violations, which could result in statutory penalties of up to $2,500 per violation, or up to $7,500 per violation if the violation is intentional. The CCPA also provides a private right of action for certain data breaches that result in the loss of personal information. This private right of action may increase the likelihood of, and risks associated with, data breach litigation. Protected health information that is subject to HIPAA is excluded from the CCPA; however, information we hold about individual residents of California that is not subject to HIPAA would be subject to the CCPA. Furthermore, California voters approved the California Privacy Rights Act (“CPRA”) in November 2020, which will significantly amend and expand the CCPA, including by providing consumers with additional rights with respect to their personal information. The CPRA also creates a new state agency that will be vested with authority to implement and enforce the CCPA and the CPRA. The CPRA will come into effect on January 1, 2023, applying to information collected by businesses on or after January 1, 2022. We expect states to continue to enact legislation similar to the CCPA and CPRA that provides consumers with new privacy rights and increases the privacy and security obligations of entities handling certain personal information of such consumers. Laws similar to the CCPA and CPRA have passed in Virginia and Colorado, and have been proposed in other states and at the federal level, reflecting a trend toward more stringent privacy legislation in the United States.</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Moreover, we are subject to certain other state laws such as the California Confidentiality of Medical Information Act, which imposes restrictive requirements regulating the use and disclosure of health information and other personal information. Such laws and regulations are not necessarily preempted by HIPAA, particularly if a state affords greater protection to individuals than HIPAA. Where state laws are more protective, we have to comply with the stricter provisions. Further, in addition to fines and penalties imposed upon violators, some of these state laws, such as the CCPA, also afford private rights of action to individuals who believe their personal information has been misused.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aggregate, state-based data privacy and security laws and regulations may impact our business. All of these evolving compliance and operational requirements impose significant costs that are likely to increase over time, may require us to modify our data processing practices and policies, divert resources from other initiatives and projects could restrict the way services involving data are offered and could subject us to additional liabilities, all of which may adversely affect our results of operations, business, and financial condition.</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personal information, along with increased customer demands for enhanced data security infrastructure, could greatly increase our cost of providing our services, decrease demand for our services, reduce our revenue and/or subject us to additional liabilities.</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Furthermore, there are numerous foreign laws, regulations and directives regarding privacy and the collection, storage, transmission, use, processing, disclosure and protection of personal information, the scope of which is continually evolving and subject to differing interpretations. If we provide services to users outside the United States, we may be subject to such laws, regulations, directives and obligations in relation to processing of personal information, and we may be subject to significant consequences, including penalties, fines and contractual liability, for our failure to comply. We are subject to the EU GDPR and the UK data privacy regime consisting primarily of the UK General Data Protection Regulation and the UK Data Protection Act 2018 (the “UK GDPR”) (the EU GDPR and the UK GDPR, collectively the “GDPR”), which impose a strict data protection compliance regime including stringent data protection requirements, such as detailed disclosures about how personal information is collected and processed, enhanced obligations on the processing of sensitive data, including information that relates to mental health, granting rights for data subjects in regard to their personal information (including data access rights, the right to be “forgotten” and the right to data portability), the obligation to notify data protection authorities (and in certain cases, affected individuals) of significant data breaches, complying with the principal of accountability and the obligation to demonstrate compliance through policies, procedures, training and audit, and provides for significant penalties for breach (as detailed below). EU Member States and the UK are also able to legislate separately on sensitive data (i.e. mental health), and we must comply with these local laws where we offer our services.</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GDPR also imposes strict rules on the transfer of personal data out of the EEA and the UK, including to the United States. Recent legal developments in Europe have created complexity and uncertainty regarding transfers of personal from the EEA and the UK to the United States. Most recently, on July 16, 2020, the Court of Justice of the European Union (“CJEU”) invalidated the EU-US Privacy Shield Framework (“Privacy Shield”) under which personal information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We will be required to implement the revised standard contractual clauses within the relevant time frames. The revised standard contractual clauses apply only to the transfer of personal data outside of the EEA and not the UK; the UK’s Information Commissioner’s Office launched a public consultation on its draft revised data transfers mechanisms in August 2021. We are monitoring the outcome of this, and we may be required to implement new or revised documentation and processes in relation to our data transfers subject to the UK GDPR, within the relevant time frames. As supervisory authorities issue further guidance on data export mechanisms, including circumstances where the standard contractual clauses cannot be used, and/or start taking enforcement action, we could suffer additional costs, complaints and/or regulatory investigations or fines, and/or if we are otherwise unable to transfer personal information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67"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relationship between the UK and the EU in relation to certain aspects of data protection law, particularly transfers of personal data, remains unclear following the UK’s departure from the EU on January 1, 2021. The European Commission has adopted an</w:t>
      </w: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Failure to comply with the requirements of the GDPR may result in fines of up to €20,000,000/ £17.5 million or up to 4% of our total worldwide annual revenue for the preceding financial year, whichever is higher. In addition,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also publish statements to our clients and members that describe how we handle and protect personal information. If federal or state regulatory authorities or private litigants consider any portion of these statements to be inaccurate, incomplete, or not fully implemented, we may be subject to claims of deceptive practices or other violation of law, which could lead to significant liabilities and consequences, including, without limitation, costs of responding to investigations, defending against litigation, settling claims and complying with regulatory or court orders.</w:t>
      </w:r>
    </w:p>
    <w:p>
      <w:pPr>
        <w:spacing w:after="0" w:line="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client and member confidence, damage to our brand and reputation, and a loss of clients and/or members, any of which could have an adverse effect on our business.</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Because of the breadth of these laws and the narrowness of their exceptions and safe harbors, it is possible that our business activities can be subject to challenge under one or more of such laws. The applicability,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and of processing of health data generally, which has led to a number of investigations, prosecutions, convictions and settlements in the healthcare industry. Any such investigations, prosecutions, convictions or settlements could result in significant financial penalties, damage to our brand and reputation, and a loss of clients and/or members, any of which could have an adverse effect on our business.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any significant change to applicable laws, regulations or industry practices regarding the collection, use, retention, security or disclosure of our users’ personal information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users' personal information data or develop new services and features. Any of the foregoing could harm our competitive position, business, financial condition, results of operations and prospects.</w:t>
      </w:r>
    </w:p>
    <w:p>
      <w:pPr>
        <w:spacing w:after="0" w:line="174"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Security breaches, loss of data and other disruptions could compromise personal information, including sensitive information, related to our business or prevent us from accessing critical information and expose us to liability, which could adversely affect our business and our reputation.</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Because of the extreme sensitivity of the information which we receive, store and transmit on behalf of therapists, clients, and others, the security features of our technology platform are very important.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particular,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As cyber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threats continue to evolve, we may be required to expend additional resources to further enhance our information security measures, develop additional protocols and/or to investigate and remediate any information security vulnerabilities.</w:t>
      </w:r>
    </w:p>
    <w:p>
      <w:pPr>
        <w:spacing w:after="0" w:line="6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If our security measures, some of which are managed by third parties, are breached or fail, unauthorized persons may be able to obtain access to sensitive client and member data, including personal information and PHI. As a result, our reputation could be severely damaged, adversely affecting client and member confidence. Members may curtail their use of or stop using our services or our client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outsource important aspects of the storage and transmission of client and member information, and thus rely on third parties to manage functions that have material cyber-security risks. We attempt to address these risks by requiring outsourcing subcontractors who handle client and member information to sign agreements contractually requiring those subcontractors to adequately safeguard personal information and PHI to the same extent that applies to us and in some cases by requiring such outsourcing subcontractors to undergo third-party security examinations. In addition, we periodically hire third-party security experts to assess and test our security posture. However, we cannot assure you that these contractual measures and other safeguards will adequately protect us from the risks associated with the storage and transmission of client and members’ proprietary and protected health information.</w:t>
      </w:r>
    </w:p>
    <w:p>
      <w:pPr>
        <w:spacing w:after="0" w:line="5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Due to applicable laws and regulations or contractual obligations, we may be held responsible for any information security failure or cyber-attack attributed to our vendors as they relate to the information we share with them. In addition, because we do not control our vendors and our ability to monitor their data security is limited, we cannot ensure the security measures they take will be sufficient to protect confidential, proprietary, or sensitive data, including personal data. We are at risk of a cyber-attack involving a vendor or other third party, which could result in a breakdown of such third party’s data protection processes or the cyber-attackers gaining access to our information systems or data through the third party. Regardless of whether an actual or perceived cyber-attack is attributable to us or our vendors, such an incident could, among other things, result in improper disclosure of information, harm our reputation and brand, reduce the demand for our products and services, lead to loss of client confidence in the effectiveness of our security measures, disrupt normal business operations or result in our systems or products and services being unavailable.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divert the attention of management from the operation of our business and cause us to incur significant costs, any of which could affect our financial condition, operating results and our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common stock. In addition, our remediation efforts may not be successful and any failure related to these activities could result in significant liability and/or have a material adverse effect on our business, reputation and financial condition.</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Expansion of our operations into markets outside the United States is one of our strategies for the future growth of our business. In connection with those plans, we may be or may become subject to compliance obligations under anti-corruption laws and regulations imposed by governmental authorities around the world with jurisdiction over our operations, which may include the FCPA, as well as the anti-corruption laws and regulations of other jurisdictions where we conduct business. These laws and regulations apply to companies, directors, officers, employees and agents, and may impact the way we conduct our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trade practices, investment decisions and partnering activities. Where they apply, the FCPA and the U.K. Bribery Act of 2010 (the “UK Bribery Act”) prohibit us and our officers, directors and employees, as well as any third parties acting on our behalf, including joint venture partners and agents, from corruptly offering, promising, authorizing or providing anything of value to public officials or other persons for the purpose of influencing official decisions or obtaining or retaining business or otherwise obtaining an improper business benefit. As part of our business, we may deal with non-U.S. governments and state-owned business enterprises, the employees and representatives of which may be considered foreign officials for purposes of the FCPA.</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connection with our planned expansion of our international operations, we will become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Our business also will need to be conducted in compliance with applicable export controls and economic sanctions laws and regulations, including those of the U.S. government, the governments of other countries in which we operate or plan to operate in or conduct business and various multilateral organizations. Such laws and regulations include, without limitation, those administered and enforced by the U.S. Department of the Treasury’s Office of Foreign Assets Control (“OFAC”), the U.S. Department of State, the U.S. Department of Commerce, the United Nations Security Council and other relevant sanctions authorities. Our provision of services to persons located outside the United States may be subject to certain regulatory prohibitions, restrictions or other requirements, including certain licensing or reporting requirements pursuant to export controls and economic sanctions laws and regulations. Our provision of services outside of the United States exposes us to the risk of violating, or being accused of violating, anti-corruption, exports controls and economic sanctions laws and regulations. Though we have implemented an anti-corruption policy, as well as formal training and monitoring programs, we cannot ensure that our policies and procedures will always protect us from risks associated with any unlawful acts carried out by our employees or agents. Violations of anti-corruption, exports controls or economic sanctions laws and regulations may expose us to reputational harm, as well as significant civil and criminal penalties, including monetary fines, imprisonment, disgorgement of profits, injunctions, suspension or debarment from government contracts, and other remedial measures. Investigations of alleged violations can be expensive and disruptive to our operations. Violations could have a material adverse effect on our reputation,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protect, enforce or defend our intellectual property rights could impair our ability to protect our technology and our brand.</w:t>
      </w:r>
    </w:p>
    <w:p>
      <w:pPr>
        <w:spacing w:after="0" w:line="1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success depends in part on our ability to maintain, protect and enforce our intellectual property and other proprietary rights. We rely upon a combination of trademark, patent and trade secret laws, as well as license and access agreements and other contractual provisions, to protect our intellectual property rights. These laws, procedures and agreements provide only limited protection and any of our intellectual property rights may be challenged, invalidated, circumvented, infringed, diluted or misappropriated.</w:t>
      </w:r>
    </w:p>
    <w:p>
      <w:pPr>
        <w:spacing w:after="0" w:line="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5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Despite our efforts to protect our trade secrets and proprietary technologies, third parties may gain access to our proprietary information. They may also develop and market solutions similar to ours or use trademarks similar to ours, each of which could materially harm our business. Unauthorized parties may also attempt to copy or obtain and use our technology to develop applications with the same functionality as our solutions, and policing unauthorized use of our technology and intellectual property rights is difficult and may not be effective. The failure to adequately protect our intellectual property and other proprietary rights could have a material adverse effect on our business, financial condition and results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clients or members or the public, of the source code to such proprietary software. Any such disclosure would have a negative effect on our business and the value of our proprietary software.</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Third parties may challenge the validity of our trademarks and patents or oppose trademark and patent applications. We may not be able to obtain and enforce additional patents to protect our proprietary rights from use by potential competitors. Companies with other patents could require us to stop using or pay to use required technology.</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commercial success depends in large part on our ability to obtain and maintain intellectual property protection through trademarks, patents, trade secrets and contracts in the United States and other countries with respect to our software and technology. If we do not adequately protect our intellectual property rights, competitors may be able to erode, negate or preempt any competitive advantage we may have, which could harm our business.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rely on our trademarks, trade name and brand names to distinguish our products and services from the products and services of our competitors, and we have registered or applied to register many of these trademarks. We cannot assure you that any future trademark applications will be approved. Third parties may also oppose our future trademark applications, or otherwise challenge our use of our trademarks. In the event that our trademarks are successfully challenged, we could be forced to rebrand products or services, which could result in time and expense to re-program our software and websites, loss of brand recognition, and could require us to devote resources to advertising and marketing new brands.</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applied for, and intend to continue to apply for, patents relating to our software and technology. Such applications may not result in the issuance of any patents, and any patents that may be issued may not provide adequate protection from competition. Furthermore, because the issuance of a patent is not conclusive as to its inventorship, scope, validity or enforceability, it is possible that patents issued to us may be challenged successfully and found to be invalid or unenforceable in the future. In that event, any competitive advantage that such patents might provide would be lost. If we are unable to secure or maintain patent coverage, our technology could become subject to competition from the sale of similar competing products.</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Competitors may also be able to design around our now held or later issued patents. Changes in either the patent laws or interpretation of the patent laws in the United States and other countries may diminish the value of such patents or narrow the scope of our patent protection. If these developments were to occur, we could face increased competition. In addition, filing, prosecuting, maintaining, defending and enforcing patents on our software and technology in all countries throughout the world would be prohibitively expensive, and our intellectual property rights in some countries outside the United States can be less extensive than those in the United States.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From time to time, patents issued to us relating to our software and technology may be infringed by the products or processes of others.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could become a party to intellectual property litigation and other infringement proceedings. The cost to us of any intellectual property litigation or other infringement or misappropriation proceeding, even if resolved in our favor, could be substantial. Some of our would-be competitors may sustain the costs of such litigation more effectively than we can because of their greater financial resources.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recent years, there has been significant litigation in the United States involving patents and other intellectual property rights. Companies in the Internet and technology industries are increasingly bringing and becoming subject to suits alleging infringement of proprietary rights, particularly patent rights, and our competitors and other third parties may hold patents or have pending patent applications, which could be related to our business. These risks have been amplified by the increase in third parties, which we refer to as non-practicing entities, whose sole or primary business is to assert such claims. 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clients using our solution have misappropriated, misused or otherwise infringed other parties’ intellectual property rights, particularly as the number of competitors in our market grows and the functionality of applications amongst competitors overlaps. Our existing, or any future, litigation, whether or not successful, could be extremely costly to defend, divert our management’s time, attention and resources, damage our reputation and brand and substantially harm our business.</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Additionally, in connection with such litigation, our use of such intellectual property could be temporarily or permanently enjoined forcing us to stop using such intellectual property altogether. Even if we are successful in defending against such claims, litigation could result in substantial costs and be a distraction to management and other employees.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in most instances, we have agreed to indemnify our clients against certain third-party claims, which may include claims that our solution infringes the intellectual property rights of such third parties. Our business could be adversely affected by any significant disputes between us and our clients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64" w:lineRule="exact"/>
        <w:rPr>
          <w:sz w:val="20"/>
          <w:szCs w:val="20"/>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cease offering or using technologies that incorporate the challenged intellectual property;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to sell or use the relevant technology; or</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 technology to avoid infringement.</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we are required to make substantial payments or undertake any of the other actions noted above as a result of any intellectual property infringement claims against us or any obligation to indemnify our clients for such claims, such payments or costs could have a material adverse effect on our business, financial condition and results of operations.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proprietary software may not operate properly, which could damage our reputation, give rise to claims against us or divert application of our resources from other purposes, any of which could harm our business, financial condition and results of operations.</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client expectations in terms of performance, clients could assert liability claims against us or attempt to cancel their contracts with us. This could damage our reputation and impair our ability to attract or maintain clients.</w:t>
      </w:r>
    </w:p>
    <w:p>
      <w:pPr>
        <w:spacing w:after="0" w:line="6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Moreover, data services are complex and those we offer have in the past contained, and may in the future develop or contain, undetected defects or errors. Material performance problems, defects or errors in our existing or new software-based products and services may arise in the future and may result from interface of our solution with systems and data that we did not develop and the function of which is outside of our control or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clients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resolve any technical issues in a timely manner, we may lose clients and our reputation may be harmed.</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clients depend on our support services to resolve any technical issues relating to our solution and services, and we may be unable to respond quickly enough to accommodate short-term increases in member demand for support services, particularly as we increase the size of our client, member and patient bases. We also may be unable to modify the format of our support services to compete with changes in support services provided by competitors. It is difficult to predict member demand for technical support services, and if member demand increases significantly, we may be unable to provide satisfactory support services to our clients. Further, if we are unable to address clients’ needs in a timely fashion or further develop and enhance our solution, or if a client or member is not satisfied with the quality of work performed by us or with the technical support services rendered, then we could incur additional costs to address the situation or be required to issue credits or refunds for amounts related to unused services, and our profitability may be impaired and clients’ dissatisfaction with our solution could damage our ability to expand the number of software-based products and services purchased by such clients. These clients may not renew their contracts, seek to terminate their relationship with us or renew on less favorable terms. Moreover, negative publicity related to our client relationships, regardless of its accuracy, may further damage our business by affecting our reputation or ability to compete for new business with current and prospective clients. If any of these were to occur, our revenue may decline and our business, financial condition and results of operations could be adversely affected.</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167" w:lineRule="exact"/>
        <w:rPr>
          <w:sz w:val="20"/>
          <w:szCs w:val="20"/>
          <w:color w:val="auto"/>
        </w:rPr>
      </w:pPr>
    </w:p>
    <w:p>
      <w:pPr>
        <w:ind w:right="720"/>
        <w:spacing w:after="0" w:line="449" w:lineRule="auto"/>
        <w:rPr>
          <w:sz w:val="20"/>
          <w:szCs w:val="20"/>
          <w:color w:val="auto"/>
        </w:rPr>
      </w:pPr>
      <w:r>
        <w:rPr>
          <w:rFonts w:ascii="Arial" w:cs="Arial" w:eastAsia="Arial" w:hAnsi="Arial"/>
          <w:sz w:val="17"/>
          <w:szCs w:val="17"/>
          <w:b w:val="1"/>
          <w:bCs w:val="1"/>
          <w:color w:val="auto"/>
        </w:rPr>
        <w:t xml:space="preserve">RISKS RELATED TO OWNERSHIP OF OUR COMMON STOCK, OUR WARRANTS AND OPERATING AS A PUBLIC COMPANY </w:t>
      </w:r>
      <w:r>
        <w:rPr>
          <w:rFonts w:ascii="Arial" w:cs="Arial" w:eastAsia="Arial" w:hAnsi="Arial"/>
          <w:sz w:val="17"/>
          <w:szCs w:val="17"/>
          <w:b w:val="1"/>
          <w:bCs w:val="1"/>
          <w:i w:val="1"/>
          <w:iCs w:val="1"/>
          <w:color w:val="auto"/>
        </w:rPr>
        <w:t>We will incur significantly increased costs and devote substantial management time as a result of operating as a public company.</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For example, we are subject to the reporting requirements of the Securities Exchange Act of 1934, as amended (the “Exchange Act”), and are required to comply with the applicable requirements of the Sarbanes-Oxley Act and the Dodd-Frank Wall Street Reform and Consumer Protection Act, as well as rules and regulations of the SEC and Nasdaq, including the establishment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maintenance of effective disclosure and financial controls, changes in corporate governance practices and required filing of annual, quarterly and current reports with respect to our business and results of operations. Any failure to develop or maintain effective controls or any difficulties encountered in their implementation or improvement could harm our results of operations or cause us to fail to meet our reporting obligations. Compliance with these requirements has increased our legal and financial compliance costs and made some activities more time-consuming and costly. In addition, our management and other personnel are required to divert attention from operational and other business matters to devote substantial time to these public company requirements. In particular, we have incurred and expect to continue to incur significant expenses and devote substantial management effort toward ensuring compliance with the requirements of Section 404 of the Sarbanes-Oxley Act. We are continuing to hire additional accounting and financial staff with appropriate public company experience and technical accounting knowledge and may need to establish an internal audit function.</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Additionally, in the fourth quarter of 2021, Talkspace reviewed and revised its director and officer liability insurance coverage. As a result, the board approved two additional layers of coverage on its “Side A” insurance which covers the personal assets of the Company’s directors and officers. This would allow coverage for individual liability protection of up to $30.0 million (after a $15.0 million deductible). Talkspace also retains $5.0 million in additional coverage for general securities liability. The Company will revise and renew its directors and officer coverage in June 2022.</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as a public company, our ability to produce accurate and timely financial statements could be impaired, investors may lose confidence in our financial reporting and the trading price of our common stock may decline.</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Section 404 of the Sarbanes-Oxley Act, we are required to provide a report by management on, among other things, the effectiveness of our internal control over financial reporting for our annual reports on Form 10-K filed with the SEC. This assessment will need to include disclosure of any material weaknesses identified by our management in our internal control over financial reporting. We are required to disclose changes made in our internal controls and procedures on a quarterly basis. In addition, our independent registered public accounting firm will be required to attest to the effectiveness of our internal control over financial reporting starting with our annual report for the year ended December 31, 2022 (second annual report) on Form 10-K to be filed with the SEC.</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rules governing the standards that must be met for management to assess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are unable to hire the additional accounting and finance staff necessary to comply with these requirements, we may need to retain additional outside consultants. If we or, if required, our independent registered public accounting firm, are unable to conclude that our internal control over financial reporting is effective, investors may lose confidence in our financial reporting, which could negatively impact the price of our securities.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as of the end of the period covered by this Form 10-K,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as of December 31, 2021 due to the material weaknesses in our internal control over financial reporting.</w:t>
      </w:r>
    </w:p>
    <w:p>
      <w:pPr>
        <w:spacing w:after="0" w:line="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identified material weaknesses in our controls related to the following (a) the aggregation of open control deficiencies across the Company’s financial reporting processes because the controls were not fully designed and operating effectively, (b) not fully designing, implementing and monitoring general information technology controls in the areas of user access and program change-management for systems supporting all of the Company’s internal control processes and (c) our controls on accounting for complex financial instruments such as warrants, did not operate effectively to appropriately apply the provisions of ASC 815-40, resulting in the failure to prevent a material error in our accounting for warrants and the resulting restatement of our previously issued financial statements.</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those contained in the Warrant Agreement governing our warrants and the HEC Forward Purchase Agreement. Following the issuance of the SEC Statement, on May 4, 2021, HEC concluded that it was appropriate to restate its previously issued audited financial statements as of December 31, 2020 and for the period from February 6, 2020 (inception) through December 31, 2020, as well as its financial data as of June 11, 2020 (the “restatement”), and as part of such process, HEC identified a material weakness in its internal control over financial reporting. As the accounting acquirer in the Business Combination, we have inherited this material weakness and the warrants.</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HEC reevaluated the accounting treatment of 20,700,000 public warrants, 10,280,000 private placement warrants and the HEC Forward Purchase Agreement, and determined to classify the warrants and the HEC Forward Purchase Agreement as liabilities measured at fair value, with changes in fair value each period reported in earnings. As a result, these liabilities are subject to re-measurement at each balance sheet date, and any change in fair value is recognized in our statement of operations and comprehensive loss. As a result of the recurring fair value measurement, our consolidated financial statements and results of operations may fluctuate quarterly, based on factors, which are outside of our control. The recurring fair value measurement applies only to the private placement warrants, and we will continue to recognize non-cash gains or losses on our private placement warrants each reporting period, and the amount of such gains or losses could be material.</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result of such material weakness, the restatement, the change in accounting for the warrants and HEC Forward Purchase Agreement, and other matters raised or that may in the future be raised by the SEC, we may face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As of the date of this annual report,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6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cannot assure you that there will not be additional material weaknesses in our internal control over financial reporting now or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securities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example, on November 26, 2021, the Financial Industry Regulatory Authority (“FINRA”), a regulator of the Nasdaq stock market, commenced conducting a routine review of trading in the Company’s stock surrounding the November 15, 2021 announcements of the Company’s financial results for the third quarter of 2021 and the resignation of the Company’s co-founder and former Chief Executive Officer, Oren Frank, and co-founder and former Head of Clinical Services, Roni Frank. The Company provided answers and documents to this routine initial contact inquiry on December 9, 2021 and there has been no further communications, requests or findings from FINRA since that date.</w:t>
      </w:r>
    </w:p>
    <w:p>
      <w:pPr>
        <w:spacing w:after="0" w:line="1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Delaware law and our organizational documents contain certain provisions, including anti-takeover provisions that limit the ability of stockholders to take certain actions and could delay or discourage takeover attempts that stockholders may consider favorable.</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organizational documents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our organizational documents include the following provisions or features that may make the acquisition of our company more difficult:</w:t>
      </w:r>
    </w:p>
    <w:p>
      <w:pPr>
        <w:spacing w:after="0" w:line="83"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 classified board of directors with staggered, three-year terms;</w:t>
      </w:r>
    </w:p>
    <w:p>
      <w:pPr>
        <w:spacing w:after="0" w:line="103" w:lineRule="exact"/>
        <w:rPr>
          <w:rFonts w:ascii="Arial" w:cs="Arial" w:eastAsia="Arial" w:hAnsi="Arial"/>
          <w:sz w:val="18"/>
          <w:szCs w:val="18"/>
          <w:color w:val="auto"/>
        </w:rPr>
      </w:pPr>
    </w:p>
    <w:p>
      <w:pPr>
        <w:jc w:val="both"/>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is permitted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76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Certificate of Incorporation prohibits cumulative voting in the election of directors, which limits the ability of minority stockholders to elect director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103"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transactions are not “corporate opportunities” and the Identified Persons (as defined in the Certificate of Incorporation) are not subject to the doctrine of corporate opportunity and such Identified Persons do not have any fiduciary duty to refrain from engaging directly or indirectly in the same or similar business activities or lines of business as us;</w:t>
      </w:r>
    </w:p>
    <w:p>
      <w:pPr>
        <w:spacing w:after="0" w:line="73"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not governed by Section 203 of the DGCL and, instead, our Certificate of Incorporation includes a provision that is substantially similar to Section 203 of the DGCL, and acknowledges that certain stockholders cannot be “interested stockholders” (as defined in the Certificate of Incorporation);</w:t>
      </w:r>
    </w:p>
    <w:p>
      <w:pPr>
        <w:spacing w:after="0" w:line="73" w:lineRule="exact"/>
        <w:rPr>
          <w:rFonts w:ascii="Arial" w:cs="Arial" w:eastAsia="Arial" w:hAnsi="Arial"/>
          <w:sz w:val="18"/>
          <w:szCs w:val="18"/>
          <w:color w:val="auto"/>
        </w:rPr>
      </w:pPr>
    </w:p>
    <w:p>
      <w:pPr>
        <w:ind w:left="760" w:right="20" w:hanging="378"/>
        <w:spacing w:after="0" w:line="291"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board of directors has the ability to amend the bylaws, which may allow our board of directors to take additional actions to prevent an unsolicited takeover and inhibit the ability of an acquirer to amend the bylaws to facilitate an unsolicited takeover attempt; and</w:t>
      </w:r>
    </w:p>
    <w:p>
      <w:pPr>
        <w:spacing w:after="0" w:line="38" w:lineRule="exact"/>
        <w:rPr>
          <w:rFonts w:ascii="Arial" w:cs="Arial" w:eastAsia="Arial" w:hAnsi="Arial"/>
          <w:sz w:val="17"/>
          <w:szCs w:val="17"/>
          <w:color w:val="auto"/>
        </w:rPr>
      </w:pPr>
    </w:p>
    <w:p>
      <w:pPr>
        <w:jc w:val="both"/>
        <w:ind w:left="760" w:hanging="378"/>
        <w:spacing w:after="0" w:line="262"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bylaws contain 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board of directors or management.</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provision of our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Certificate of Incorporation requires,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the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provisions do not apply to claims arising under the Securities Act, the Exchange Act or other federal securities laws for which there is exclusive federal or concurrent federal and state jurisdiction.</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 provided, however, that our stockholders will not be deemed to have waived our compliance with the federal securities laws and the rules and regulations thereunder. The enforceability of similar choice of forum provisions in other companies’ organizational documents has been challenged in legal proceedings, and it is possible that, in connection with claims arising under federal securities laws, a court could find the choice of forum provisions contained in the Certificate of Incorporation to be inapplicable or unenforceable.</w:t>
      </w:r>
    </w:p>
    <w:p>
      <w:pPr>
        <w:spacing w:after="0" w:line="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the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resales of our common stock may cause the market price of our securities to drop significantly, even if our business is doing well.</w:t>
      </w:r>
    </w:p>
    <w:p>
      <w:pPr>
        <w:spacing w:after="0" w:line="11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Pursuant to the Sponsor Support Agreement and our Bylaws, the Sponsor and certain stockholders of Talkspace, Inc. (“Talkspace Holders”</w:t>
      </w:r>
      <w:r>
        <w:rPr>
          <w:rFonts w:ascii="Arial" w:cs="Arial" w:eastAsia="Arial" w:hAnsi="Arial"/>
          <w:sz w:val="18"/>
          <w:szCs w:val="18"/>
          <w:b w:val="1"/>
          <w:bCs w:val="1"/>
          <w:color w:val="auto"/>
        </w:rPr>
        <w:t>)</w:t>
      </w:r>
      <w:r>
        <w:rPr>
          <w:rFonts w:ascii="Arial" w:cs="Arial" w:eastAsia="Arial" w:hAnsi="Arial"/>
          <w:sz w:val="18"/>
          <w:szCs w:val="18"/>
          <w:color w:val="auto"/>
        </w:rPr>
        <w:t xml:space="preserve"> the Talkspace Holders are contractually restricted from selling or transferring any shares of our common stock (not including the shares of our common stock issued in the PIPE Investment pursuant to the terms of the Subscription Agreements) (the “Lock-up Shares”). Such restrictions began at Closing and end on the date that is 180 days after the Closing.</w:t>
      </w:r>
    </w:p>
    <w:p>
      <w:pPr>
        <w:spacing w:after="0" w:line="7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However, following the expiration of such lockup, the Sponsor and the Talkspace Holders will not be restricted from selling shares of our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 The shares held by Sponsor and the Talkspace Holders may be sold after the expiration of the applicable lock-up period under the Sponsor Support Agreement and Bylaws. As restrictions on resale end and registration statements (to provide for the resale of such shares from time to time) are available for use, the sale or possibility of sale of these shares could have the effect of increasing the volatility in our share price or the market price of our common stock could decline if the holders of currently restricted shares sell them or are perceived by the market as intending to sell them.</w:t>
      </w:r>
    </w:p>
    <w:p>
      <w:pPr>
        <w:spacing w:after="0" w:line="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we may issue additional common stock or other equity securities without the approval of investors, which would dilute investors’ ownership interests and may depress the market price of our common stock.</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warrants are exercisable for common stock, which could increase the number of shares eligible for future resale in the public market and result in dilution to our stockholders.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Outstanding warrants to purchase an aggregate of 33,480,000 shares of common stock are exercisable in accordance with the terms of the Warrant Agreement governing those securities. To the extent such warrants are exercised, additional shares of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public warrants will ever be in the money prior to their expiration, and as such, the warrants may expire worthless.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and future agreements and financing instruments, business prospects and such other factors as our board of directors deems relevant.</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(ii) adjusting the provisions relating to cash dividends on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common stock purchasable upon exercise of a warrant.</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8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closing price of our common stock equals or exceeds $18.00 per share (as adjusted for stock splits, stock recapitalizations,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at a time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securities may be volatile.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securities may fluctuate due to a variety of factors, including:</w:t>
      </w:r>
    </w:p>
    <w:p>
      <w:pPr>
        <w:spacing w:after="0" w:line="104"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competitive services or technologies;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related to our existing or any future collaborations;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volume of our securities available for public sale;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board of directors or management;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These market and industry factors may materially reduce the market price of our common stock and warrants regardless of our operating performance.</w:t>
      </w:r>
    </w:p>
    <w:p>
      <w:pPr>
        <w:spacing w:after="0" w:line="2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need to raise additional capital in the future in order to execute our business plans, which may not be available on terms acceptable to us, or at all.</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have experienced recurring losses from operations, and negative cash flows at operations, and we expect our operating expenses will increase in the foreseeable future. We believe our cash and cash equivalents on hand following the Business Combination, together with cash we expect to generate from future operations, will be sufficient to meet our working capital and capital expenditure requirements in the near future.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market price of our securities may be volatile and, in the past, companies that have experienced volatility in the market price of their securities have been subject to securities class action litigation. We may face allegations or litigation related to, among other things, securities issuances or business practices. For example, putative class action lawsuits have been filed by certain of our shareholders against us and certain of our current and former officers and directors alleging certain violations of the federal securities laws in connection with certain statements we have made regarding our business and financial condition. See Note 9, “Commitments and Contingent Liabilities” in the notes to the consolidated financial statements for further details. Litigation disputes, including the disputes we are currently facing, could cause us to incur unforeseen expenses, result in content unavailability, and otherwise occupy a significant amount of our management’s time and attention, any of which could negatively affect our business operations and financial position. While the ultimate outcome of investigations, inquiries, information requests and related legal proceedings is difficult to predict, such matters can be expensive, time-consuming and distracting, and adverse resolutions or settlements of those matters may result in, among other things, modification of our business practices, reputational harm or costs and significant payments, any of which could negatively affect our business operations and financial position.</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Securities research analysts may establish and publish their own periodic projections for our business.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securities price or trading volume could decline. While we expect to receive research analyst coverage, if no analysts commence coverage of us, the market price and volume for our securities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Since terminating our prior office lease in New York City in August 2020, we currently have no permanent physical office space and the majority of our employees are working remotely. In August 2021, the Company entered into a temporary short-term co-working space agreement in New York City which expires in February 2022, and will not be renewed.</w:t>
      </w:r>
    </w:p>
    <w:p>
      <w:pPr>
        <w:spacing w:after="0" w:line="7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have limited operations outside the United States. As of December 31, 2021, we have one foreign subsidiary located in Israel which leases its operating facilities under a non-cancelable short-term operating lease agreement, which expired in July, 2021 and renews monthly on the first day of every month.</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See Note 9, “Commitments and Contingent Liabilities” in the notes to the consolidated financial statements for further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PART II</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June 23, 2021, Talkspace, Inc.'s common stock and warrants began trading on the Nasdaq Global Select Market under the symbols “TALK” and “TALKW,” respectively. Prior to that time, there was no public market for our common stock or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21, 2022, there were 76 holders of record of our common stock and 13 holders of record of our warrants.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not paid any cash dividends on our common stock to date and, prior to the Business Combination, HEC had not paid any dividends on its common stock. The payment of cash dividends in the future will be dependent upon our revenues and earnings, if any, capital requirements and general financial condition. The payment of any cash dividends will be within the discretion of our board of directors. Our ability to declare dividends may be limited by the terms of financing or other agreements entered into by us or our subsidiaries from time to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following graph and table illustrate the total return from June 23, 2021 through December 31, 2021, for (i) our common stock, (ii) the Standard &amp; Poor’s 500 Index, (iii) the Standard &amp; Poor’s 500 Healthcare Index and (iv) the Russell 2000 Composite Index. The graph and the table assume that $100 was invested on June 23, 2021 in each of our common stock, the Standard &amp; Poor’s 500 Index, the Standard &amp; Poor’s 500 Healthcare Index and the Russell 2000 Composite Index, and that any dividends were reinvested. The comparisons reflected in the graph and table are not intended to forecast the future performance of our stock and may not be indicative of our future performance.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8108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jc w:val="center"/>
        <w:spacing w:after="0" w:line="219" w:lineRule="auto"/>
        <w:rPr>
          <w:sz w:val="20"/>
          <w:szCs w:val="20"/>
          <w:color w:val="auto"/>
        </w:rPr>
      </w:pPr>
      <w:r>
        <w:rPr>
          <w:rFonts w:ascii="Arial" w:cs="Arial" w:eastAsia="Arial" w:hAnsi="Arial"/>
          <w:sz w:val="18"/>
          <w:szCs w:val="18"/>
          <w:b w:val="1"/>
          <w:bCs w:val="1"/>
          <w:color w:val="auto"/>
        </w:rPr>
        <w:t>Talkspace, Inc</w:t>
      </w:r>
    </w:p>
    <w:p>
      <w:pPr>
        <w:jc w:val="center"/>
        <w:spacing w:after="0" w:line="219" w:lineRule="auto"/>
        <w:rPr>
          <w:sz w:val="20"/>
          <w:szCs w:val="20"/>
          <w:color w:val="auto"/>
        </w:rPr>
      </w:pPr>
      <w:r>
        <w:rPr>
          <w:rFonts w:ascii="Arial" w:cs="Arial" w:eastAsia="Arial" w:hAnsi="Arial"/>
          <w:sz w:val="18"/>
          <w:szCs w:val="18"/>
          <w:b w:val="1"/>
          <w:bCs w:val="1"/>
          <w:color w:val="auto"/>
        </w:rPr>
        <w:t>Common Stock Price</w:t>
      </w:r>
    </w:p>
    <w:p>
      <w:pPr>
        <w:jc w:val="center"/>
        <w:spacing w:after="0"/>
        <w:rPr>
          <w:sz w:val="20"/>
          <w:szCs w:val="20"/>
          <w:color w:val="auto"/>
        </w:rPr>
      </w:pPr>
      <w:r>
        <w:rPr>
          <w:rFonts w:ascii="Arial" w:cs="Arial" w:eastAsia="Arial" w:hAnsi="Arial"/>
          <w:sz w:val="18"/>
          <w:szCs w:val="18"/>
          <w:b w:val="1"/>
          <w:bCs w:val="1"/>
          <w:color w:val="auto"/>
        </w:rPr>
        <w:t>June 23, 2021 to December 31, 2021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124460</wp:posOffset>
            </wp:positionV>
            <wp:extent cx="5391785" cy="36429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9178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1"/>
              </w:rPr>
              <w:t>23-Jun</w:t>
            </w:r>
          </w:p>
        </w:tc>
        <w:tc>
          <w:tcPr>
            <w:tcW w:w="104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30-Jul</w:t>
            </w:r>
          </w:p>
        </w:tc>
        <w:tc>
          <w:tcPr>
            <w:tcW w:w="1420" w:type="dxa"/>
            <w:vAlign w:val="bottom"/>
            <w:gridSpan w:val="3"/>
          </w:tcPr>
          <w:p>
            <w:pPr>
              <w:ind w:left="340"/>
              <w:spacing w:after="0"/>
              <w:rPr>
                <w:sz w:val="20"/>
                <w:szCs w:val="20"/>
                <w:color w:val="auto"/>
              </w:rPr>
            </w:pPr>
            <w:r>
              <w:rPr>
                <w:rFonts w:ascii="Arial" w:cs="Arial" w:eastAsia="Arial" w:hAnsi="Arial"/>
                <w:sz w:val="13"/>
                <w:szCs w:val="13"/>
                <w:b w:val="1"/>
                <w:bCs w:val="1"/>
                <w:color w:val="auto"/>
              </w:rPr>
              <w:t>31-Aug</w:t>
            </w:r>
          </w:p>
        </w:tc>
        <w:tc>
          <w:tcPr>
            <w:tcW w:w="104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w w:val="79"/>
              </w:rPr>
              <w:t>30-Sep</w:t>
            </w: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29-Oct</w:t>
            </w:r>
          </w:p>
        </w:tc>
        <w:tc>
          <w:tcPr>
            <w:tcW w:w="1360" w:type="dxa"/>
            <w:vAlign w:val="bottom"/>
            <w:gridSpan w:val="3"/>
          </w:tcPr>
          <w:p>
            <w:pPr>
              <w:jc w:val="right"/>
              <w:ind w:right="660"/>
              <w:spacing w:after="0"/>
              <w:rPr>
                <w:sz w:val="20"/>
                <w:szCs w:val="20"/>
                <w:color w:val="auto"/>
              </w:rPr>
            </w:pPr>
            <w:r>
              <w:rPr>
                <w:rFonts w:ascii="Arial" w:cs="Arial" w:eastAsia="Arial" w:hAnsi="Arial"/>
                <w:sz w:val="13"/>
                <w:szCs w:val="13"/>
                <w:b w:val="1"/>
                <w:bCs w:val="1"/>
                <w:color w:val="auto"/>
              </w:rPr>
              <w:t>30-Nov</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79"/>
              </w:rPr>
              <w:t>31-Dec</w:t>
            </w:r>
          </w:p>
        </w:tc>
      </w:tr>
      <w:tr>
        <w:trPr>
          <w:trHeight w:val="27"/>
        </w:trPr>
        <w:tc>
          <w:tcPr>
            <w:tcW w:w="4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4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Talkspace</w:t>
            </w:r>
          </w:p>
        </w:tc>
        <w:tc>
          <w:tcPr>
            <w:tcW w:w="72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100</w:t>
            </w:r>
          </w:p>
        </w:tc>
        <w:tc>
          <w:tcPr>
            <w:tcW w:w="1040" w:type="dxa"/>
            <w:vAlign w:val="bottom"/>
            <w:gridSpan w:val="3"/>
            <w:shd w:val="clear" w:color="auto" w:fill="CFF0FC"/>
          </w:tcPr>
          <w:p>
            <w:pPr>
              <w:jc w:val="right"/>
              <w:ind w:right="340"/>
              <w:spacing w:after="0"/>
              <w:rPr>
                <w:sz w:val="20"/>
                <w:szCs w:val="20"/>
                <w:color w:val="auto"/>
              </w:rPr>
            </w:pPr>
            <w:r>
              <w:rPr>
                <w:rFonts w:ascii="Arial" w:cs="Arial" w:eastAsia="Arial" w:hAnsi="Arial"/>
                <w:sz w:val="13"/>
                <w:szCs w:val="13"/>
                <w:color w:val="auto"/>
              </w:rPr>
              <w:t>64</w:t>
            </w:r>
          </w:p>
        </w:tc>
        <w:tc>
          <w:tcPr>
            <w:tcW w:w="1420" w:type="dxa"/>
            <w:vAlign w:val="bottom"/>
            <w:gridSpan w:val="3"/>
            <w:shd w:val="clear" w:color="auto" w:fill="CFF0FC"/>
          </w:tcPr>
          <w:p>
            <w:pPr>
              <w:jc w:val="right"/>
              <w:ind w:right="680"/>
              <w:spacing w:after="0"/>
              <w:rPr>
                <w:sz w:val="20"/>
                <w:szCs w:val="20"/>
                <w:color w:val="auto"/>
              </w:rPr>
            </w:pPr>
            <w:r>
              <w:rPr>
                <w:rFonts w:ascii="Arial" w:cs="Arial" w:eastAsia="Arial" w:hAnsi="Arial"/>
                <w:sz w:val="13"/>
                <w:szCs w:val="13"/>
                <w:color w:val="auto"/>
              </w:rPr>
              <w:t>57</w:t>
            </w:r>
          </w:p>
        </w:tc>
        <w:tc>
          <w:tcPr>
            <w:tcW w:w="1040" w:type="dxa"/>
            <w:vAlign w:val="bottom"/>
            <w:gridSpan w:val="2"/>
            <w:shd w:val="clear" w:color="auto" w:fill="CFF0FC"/>
          </w:tcPr>
          <w:p>
            <w:pPr>
              <w:jc w:val="right"/>
              <w:ind w:right="680"/>
              <w:spacing w:after="0"/>
              <w:rPr>
                <w:sz w:val="20"/>
                <w:szCs w:val="20"/>
                <w:color w:val="auto"/>
              </w:rPr>
            </w:pPr>
            <w:r>
              <w:rPr>
                <w:rFonts w:ascii="Arial" w:cs="Arial" w:eastAsia="Arial" w:hAnsi="Arial"/>
                <w:sz w:val="13"/>
                <w:szCs w:val="13"/>
                <w:color w:val="auto"/>
              </w:rPr>
              <w:t>40</w:t>
            </w: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37</w:t>
            </w:r>
          </w:p>
        </w:tc>
        <w:tc>
          <w:tcPr>
            <w:tcW w:w="1360" w:type="dxa"/>
            <w:vAlign w:val="bottom"/>
            <w:gridSpan w:val="3"/>
            <w:shd w:val="clear" w:color="auto" w:fill="CFF0FC"/>
          </w:tcPr>
          <w:p>
            <w:pPr>
              <w:jc w:val="right"/>
              <w:ind w:right="660"/>
              <w:spacing w:after="0"/>
              <w:rPr>
                <w:sz w:val="20"/>
                <w:szCs w:val="20"/>
                <w:color w:val="auto"/>
              </w:rPr>
            </w:pPr>
            <w:r>
              <w:rPr>
                <w:rFonts w:ascii="Arial" w:cs="Arial" w:eastAsia="Arial" w:hAnsi="Arial"/>
                <w:sz w:val="13"/>
                <w:szCs w:val="13"/>
                <w:color w:val="auto"/>
              </w:rPr>
              <w:t>25</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w:t>
            </w:r>
          </w:p>
        </w:tc>
      </w:tr>
      <w:tr>
        <w:trPr>
          <w:trHeight w:val="148"/>
        </w:trPr>
        <w:tc>
          <w:tcPr>
            <w:tcW w:w="4560" w:type="dxa"/>
            <w:vAlign w:val="bottom"/>
          </w:tcPr>
          <w:p>
            <w:pPr>
              <w:ind w:left="20"/>
              <w:spacing w:after="0"/>
              <w:rPr>
                <w:sz w:val="20"/>
                <w:szCs w:val="20"/>
                <w:color w:val="auto"/>
              </w:rPr>
            </w:pPr>
            <w:r>
              <w:rPr>
                <w:rFonts w:ascii="Arial" w:cs="Arial" w:eastAsia="Arial" w:hAnsi="Arial"/>
                <w:sz w:val="13"/>
                <w:szCs w:val="13"/>
                <w:color w:val="auto"/>
              </w:rPr>
              <w:t>S&amp;P 500</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1040" w:type="dxa"/>
            <w:vAlign w:val="bottom"/>
            <w:gridSpan w:val="3"/>
          </w:tcPr>
          <w:p>
            <w:pPr>
              <w:jc w:val="right"/>
              <w:ind w:right="340"/>
              <w:spacing w:after="0"/>
              <w:rPr>
                <w:sz w:val="20"/>
                <w:szCs w:val="20"/>
                <w:color w:val="auto"/>
              </w:rPr>
            </w:pPr>
            <w:r>
              <w:rPr>
                <w:rFonts w:ascii="Arial" w:cs="Arial" w:eastAsia="Arial" w:hAnsi="Arial"/>
                <w:sz w:val="13"/>
                <w:szCs w:val="13"/>
                <w:color w:val="auto"/>
              </w:rPr>
              <w:t>104</w:t>
            </w:r>
          </w:p>
        </w:tc>
        <w:tc>
          <w:tcPr>
            <w:tcW w:w="1420" w:type="dxa"/>
            <w:vAlign w:val="bottom"/>
            <w:gridSpan w:val="3"/>
          </w:tcPr>
          <w:p>
            <w:pPr>
              <w:jc w:val="right"/>
              <w:ind w:right="680"/>
              <w:spacing w:after="0"/>
              <w:rPr>
                <w:sz w:val="20"/>
                <w:szCs w:val="20"/>
                <w:color w:val="auto"/>
              </w:rPr>
            </w:pPr>
            <w:r>
              <w:rPr>
                <w:rFonts w:ascii="Arial" w:cs="Arial" w:eastAsia="Arial" w:hAnsi="Arial"/>
                <w:sz w:val="13"/>
                <w:szCs w:val="13"/>
                <w:color w:val="auto"/>
              </w:rPr>
              <w:t>107</w:t>
            </w:r>
          </w:p>
        </w:tc>
        <w:tc>
          <w:tcPr>
            <w:tcW w:w="1040" w:type="dxa"/>
            <w:vAlign w:val="bottom"/>
            <w:gridSpan w:val="2"/>
          </w:tcPr>
          <w:p>
            <w:pPr>
              <w:jc w:val="right"/>
              <w:ind w:right="680"/>
              <w:spacing w:after="0"/>
              <w:rPr>
                <w:sz w:val="20"/>
                <w:szCs w:val="20"/>
                <w:color w:val="auto"/>
              </w:rPr>
            </w:pPr>
            <w:r>
              <w:rPr>
                <w:rFonts w:ascii="Arial" w:cs="Arial" w:eastAsia="Arial" w:hAnsi="Arial"/>
                <w:sz w:val="13"/>
                <w:szCs w:val="13"/>
                <w:color w:val="auto"/>
              </w:rPr>
              <w:t>102</w:t>
            </w:r>
          </w:p>
        </w:tc>
        <w:tc>
          <w:tcPr>
            <w:tcW w:w="680" w:type="dxa"/>
            <w:vAlign w:val="bottom"/>
            <w:gridSpan w:val="2"/>
          </w:tcPr>
          <w:p>
            <w:pPr>
              <w:jc w:val="right"/>
              <w:ind w:right="320"/>
              <w:spacing w:after="0"/>
              <w:rPr>
                <w:sz w:val="20"/>
                <w:szCs w:val="20"/>
                <w:color w:val="auto"/>
              </w:rPr>
            </w:pPr>
            <w:r>
              <w:rPr>
                <w:rFonts w:ascii="Arial" w:cs="Arial" w:eastAsia="Arial" w:hAnsi="Arial"/>
                <w:sz w:val="13"/>
                <w:szCs w:val="13"/>
                <w:color w:val="auto"/>
              </w:rPr>
              <w:t>109</w:t>
            </w:r>
          </w:p>
        </w:tc>
        <w:tc>
          <w:tcPr>
            <w:tcW w:w="1360" w:type="dxa"/>
            <w:vAlign w:val="bottom"/>
            <w:gridSpan w:val="3"/>
          </w:tcPr>
          <w:p>
            <w:pPr>
              <w:jc w:val="right"/>
              <w:ind w:right="660"/>
              <w:spacing w:after="0"/>
              <w:rPr>
                <w:sz w:val="20"/>
                <w:szCs w:val="20"/>
                <w:color w:val="auto"/>
              </w:rPr>
            </w:pPr>
            <w:r>
              <w:rPr>
                <w:rFonts w:ascii="Arial" w:cs="Arial" w:eastAsia="Arial" w:hAnsi="Arial"/>
                <w:sz w:val="13"/>
                <w:szCs w:val="13"/>
                <w:color w:val="auto"/>
              </w:rPr>
              <w:t>108</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112</w:t>
            </w:r>
          </w:p>
        </w:tc>
      </w:tr>
      <w:tr>
        <w:trPr>
          <w:trHeight w:val="148"/>
        </w:trPr>
        <w:tc>
          <w:tcPr>
            <w:tcW w:w="4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S&amp;P 500 / Healthcare Index</w:t>
            </w:r>
          </w:p>
        </w:tc>
        <w:tc>
          <w:tcPr>
            <w:tcW w:w="72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100</w:t>
            </w:r>
          </w:p>
        </w:tc>
        <w:tc>
          <w:tcPr>
            <w:tcW w:w="1040" w:type="dxa"/>
            <w:vAlign w:val="bottom"/>
            <w:gridSpan w:val="3"/>
            <w:shd w:val="clear" w:color="auto" w:fill="CFF0FC"/>
          </w:tcPr>
          <w:p>
            <w:pPr>
              <w:jc w:val="right"/>
              <w:ind w:right="340"/>
              <w:spacing w:after="0"/>
              <w:rPr>
                <w:sz w:val="20"/>
                <w:szCs w:val="20"/>
                <w:color w:val="auto"/>
              </w:rPr>
            </w:pPr>
            <w:r>
              <w:rPr>
                <w:rFonts w:ascii="Arial" w:cs="Arial" w:eastAsia="Arial" w:hAnsi="Arial"/>
                <w:sz w:val="13"/>
                <w:szCs w:val="13"/>
                <w:color w:val="auto"/>
              </w:rPr>
              <w:t>106</w:t>
            </w:r>
          </w:p>
        </w:tc>
        <w:tc>
          <w:tcPr>
            <w:tcW w:w="1420" w:type="dxa"/>
            <w:vAlign w:val="bottom"/>
            <w:gridSpan w:val="3"/>
            <w:shd w:val="clear" w:color="auto" w:fill="CFF0FC"/>
          </w:tcPr>
          <w:p>
            <w:pPr>
              <w:jc w:val="right"/>
              <w:ind w:right="680"/>
              <w:spacing w:after="0"/>
              <w:rPr>
                <w:sz w:val="20"/>
                <w:szCs w:val="20"/>
                <w:color w:val="auto"/>
              </w:rPr>
            </w:pPr>
            <w:r>
              <w:rPr>
                <w:rFonts w:ascii="Arial" w:cs="Arial" w:eastAsia="Arial" w:hAnsi="Arial"/>
                <w:sz w:val="13"/>
                <w:szCs w:val="13"/>
                <w:color w:val="auto"/>
              </w:rPr>
              <w:t>108</w:t>
            </w:r>
          </w:p>
        </w:tc>
        <w:tc>
          <w:tcPr>
            <w:tcW w:w="1040" w:type="dxa"/>
            <w:vAlign w:val="bottom"/>
            <w:gridSpan w:val="2"/>
            <w:shd w:val="clear" w:color="auto" w:fill="CFF0FC"/>
          </w:tcPr>
          <w:p>
            <w:pPr>
              <w:jc w:val="right"/>
              <w:ind w:right="680"/>
              <w:spacing w:after="0"/>
              <w:rPr>
                <w:sz w:val="20"/>
                <w:szCs w:val="20"/>
                <w:color w:val="auto"/>
              </w:rPr>
            </w:pPr>
            <w:r>
              <w:rPr>
                <w:rFonts w:ascii="Arial" w:cs="Arial" w:eastAsia="Arial" w:hAnsi="Arial"/>
                <w:sz w:val="13"/>
                <w:szCs w:val="13"/>
                <w:color w:val="auto"/>
              </w:rPr>
              <w:t>102</w:t>
            </w: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107</w:t>
            </w:r>
          </w:p>
        </w:tc>
        <w:tc>
          <w:tcPr>
            <w:tcW w:w="1360" w:type="dxa"/>
            <w:vAlign w:val="bottom"/>
            <w:gridSpan w:val="3"/>
            <w:shd w:val="clear" w:color="auto" w:fill="CFF0FC"/>
          </w:tcPr>
          <w:p>
            <w:pPr>
              <w:jc w:val="right"/>
              <w:ind w:right="660"/>
              <w:spacing w:after="0"/>
              <w:rPr>
                <w:sz w:val="20"/>
                <w:szCs w:val="20"/>
                <w:color w:val="auto"/>
              </w:rPr>
            </w:pPr>
            <w:r>
              <w:rPr>
                <w:rFonts w:ascii="Arial" w:cs="Arial" w:eastAsia="Arial" w:hAnsi="Arial"/>
                <w:sz w:val="13"/>
                <w:szCs w:val="13"/>
                <w:color w:val="auto"/>
              </w:rPr>
              <w:t>104</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113</w:t>
            </w:r>
          </w:p>
        </w:tc>
      </w:tr>
      <w:tr>
        <w:trPr>
          <w:trHeight w:val="160"/>
        </w:trPr>
        <w:tc>
          <w:tcPr>
            <w:tcW w:w="4560" w:type="dxa"/>
            <w:vAlign w:val="bottom"/>
          </w:tcPr>
          <w:p>
            <w:pPr>
              <w:ind w:left="20"/>
              <w:spacing w:after="0"/>
              <w:rPr>
                <w:sz w:val="20"/>
                <w:szCs w:val="20"/>
                <w:color w:val="auto"/>
              </w:rPr>
            </w:pPr>
            <w:r>
              <w:rPr>
                <w:rFonts w:ascii="Arial" w:cs="Arial" w:eastAsia="Arial" w:hAnsi="Arial"/>
                <w:sz w:val="13"/>
                <w:szCs w:val="13"/>
                <w:color w:val="auto"/>
              </w:rPr>
              <w:t>Russell 2000 Composite Index</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1040" w:type="dxa"/>
            <w:vAlign w:val="bottom"/>
            <w:gridSpan w:val="3"/>
          </w:tcPr>
          <w:p>
            <w:pPr>
              <w:jc w:val="right"/>
              <w:ind w:right="340"/>
              <w:spacing w:after="0"/>
              <w:rPr>
                <w:sz w:val="20"/>
                <w:szCs w:val="20"/>
                <w:color w:val="auto"/>
              </w:rPr>
            </w:pPr>
            <w:r>
              <w:rPr>
                <w:rFonts w:ascii="Arial" w:cs="Arial" w:eastAsia="Arial" w:hAnsi="Arial"/>
                <w:sz w:val="13"/>
                <w:szCs w:val="13"/>
                <w:color w:val="auto"/>
              </w:rPr>
              <w:t>97</w:t>
            </w:r>
          </w:p>
        </w:tc>
        <w:tc>
          <w:tcPr>
            <w:tcW w:w="1420" w:type="dxa"/>
            <w:vAlign w:val="bottom"/>
            <w:gridSpan w:val="3"/>
          </w:tcPr>
          <w:p>
            <w:pPr>
              <w:jc w:val="right"/>
              <w:ind w:right="680"/>
              <w:spacing w:after="0"/>
              <w:rPr>
                <w:sz w:val="20"/>
                <w:szCs w:val="20"/>
                <w:color w:val="auto"/>
              </w:rPr>
            </w:pPr>
            <w:r>
              <w:rPr>
                <w:rFonts w:ascii="Arial" w:cs="Arial" w:eastAsia="Arial" w:hAnsi="Arial"/>
                <w:sz w:val="13"/>
                <w:szCs w:val="13"/>
                <w:color w:val="auto"/>
              </w:rPr>
              <w:t>99</w:t>
            </w:r>
          </w:p>
        </w:tc>
        <w:tc>
          <w:tcPr>
            <w:tcW w:w="1040" w:type="dxa"/>
            <w:vAlign w:val="bottom"/>
            <w:gridSpan w:val="2"/>
          </w:tcPr>
          <w:p>
            <w:pPr>
              <w:jc w:val="right"/>
              <w:ind w:right="680"/>
              <w:spacing w:after="0"/>
              <w:rPr>
                <w:sz w:val="20"/>
                <w:szCs w:val="20"/>
                <w:color w:val="auto"/>
              </w:rPr>
            </w:pPr>
            <w:r>
              <w:rPr>
                <w:rFonts w:ascii="Arial" w:cs="Arial" w:eastAsia="Arial" w:hAnsi="Arial"/>
                <w:sz w:val="13"/>
                <w:szCs w:val="13"/>
                <w:color w:val="auto"/>
              </w:rPr>
              <w:t>96</w:t>
            </w:r>
          </w:p>
        </w:tc>
        <w:tc>
          <w:tcPr>
            <w:tcW w:w="680" w:type="dxa"/>
            <w:vAlign w:val="bottom"/>
            <w:gridSpan w:val="2"/>
          </w:tcPr>
          <w:p>
            <w:pPr>
              <w:jc w:val="right"/>
              <w:ind w:right="320"/>
              <w:spacing w:after="0"/>
              <w:rPr>
                <w:sz w:val="20"/>
                <w:szCs w:val="20"/>
                <w:color w:val="auto"/>
              </w:rPr>
            </w:pPr>
            <w:r>
              <w:rPr>
                <w:rFonts w:ascii="Arial" w:cs="Arial" w:eastAsia="Arial" w:hAnsi="Arial"/>
                <w:sz w:val="13"/>
                <w:szCs w:val="13"/>
                <w:color w:val="auto"/>
              </w:rPr>
              <w:t>100</w:t>
            </w:r>
          </w:p>
        </w:tc>
        <w:tc>
          <w:tcPr>
            <w:tcW w:w="1360" w:type="dxa"/>
            <w:vAlign w:val="bottom"/>
            <w:gridSpan w:val="3"/>
          </w:tcPr>
          <w:p>
            <w:pPr>
              <w:jc w:val="right"/>
              <w:ind w:right="660"/>
              <w:spacing w:after="0"/>
              <w:rPr>
                <w:sz w:val="20"/>
                <w:szCs w:val="20"/>
                <w:color w:val="auto"/>
              </w:rPr>
            </w:pPr>
            <w:r>
              <w:rPr>
                <w:rFonts w:ascii="Arial" w:cs="Arial" w:eastAsia="Arial" w:hAnsi="Arial"/>
                <w:sz w:val="13"/>
                <w:szCs w:val="13"/>
                <w:color w:val="auto"/>
              </w:rPr>
              <w:t>95</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97</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June 11, 2020, HEC consummated the HEC IPO, in which it issued 41,400,000 units (the “HEC Units”), including the issuance of 5,400,000 Units as a result of the underwriters’ exercise of their over-allotment option in full. Each HEC Unit consists of one share of Class A common stock of HEC, par value $0.0001 per share, and one-half of one redeemable warrant of HEC (each an “HEC Warrant”), with each whole HEC Warrant entitling the holder thereof to purchase one share of HEC’s Class A common stock for $11.50 per share, subject to adjustment. The HEC Units were sold at a price of $10.00 per Unit, generating gross proceeds to HEC of $414,000,000. Simultaneously with the consummation of the HEC IPO and the exercise of the over-allotment option in full, HEC consummated a private placement of 10,280,000 private placement warrants to its sponsor, HEC Sponsor LLC, at a price of $1.00 per private placement warrant, generating total additional proceeds of $10.3 million. Such securities were issued pursuant to the exemption from registration contained in Section 4(a)(2) of the Securities Act.</w:t>
      </w:r>
    </w:p>
    <w:p>
      <w:pPr>
        <w:spacing w:after="0" w:line="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HEC incurred approximately $23.4 million in transaction costs, including $8.3 million of underwriting fees, $14.5 million of deferred underwriting fees and $0.6 million of other costs. Following the HEC IPO, the exercise of the over-allotment option in full and the sale of the private placement warrants, a total of $414.2 million was placed in a trust account. After deducting payments to existing shareholders of $259.8 million in connection with their exercise of redemption rights, the payment of the $14.5 million of deferred underwriting fees and a total of $14.0 million in expenses in connection with the Business Combination paid from the trust account, the remainder of the trust account is now held on our balance sheet to fund our operations and continued growth.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i w:val="1"/>
          <w:iCs w:val="1"/>
          <w:color w:val="auto"/>
        </w:rPr>
        <w:t>Unless the context otherwise requires, all references in this section to as “Talkspace,” the “Company,” “we,” “our” or “us” refer to the business of Talkspace, Inc. and its subsidiaries.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financial statements and the related notes contained in this Annual Report. This discussion contains forward-looking statements reflecting our plans, estimates, and beliefs, which involve risks and uncertainties. As a result of many factors, such as those set forth under the “Risk Factors” and “Forward-Looking Statements” sections and elsewhere in this Annual Report, our actual results may differ materially from those anticipated in these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business-to-consumer (“B2C”) channel, comprised of individual consumers who subscribe directly to our platform, and our business-to-business (“B2B”) channel, comprised of large enterprise clients such as Google and Expedia and large health plans and employee assistance programs (“health plan clients”) such as Aetna, Cigna, Premera and Optum (collectively, our “clients”), who offer their employees and insured members access to our platform while their employer is under an active contract with Talkspace, or at in-network reimbursement rates, where applicable.</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For the year ended December 31, 2021, approximately 280,000 members were registered on our platform, as compared to approximately 200,000 for the year ended December 31, 2020. As of December 31, 2021, we had approximately 56,000 active members receiving care through our B2C and B2B channels, including approximately 24,000 B2C active members, and approximately 69 million B2B eligible lives.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While a growth in active members typically highlights strong engagement with our members, not all active members are associated with revenue in that particular period. We consider B2B lives “eligible” if such persons are eligible to receive treatment on the Talkspace platform, in the case of our enterprise 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members than we actually serve. For the year ended December 31, 2021, our clinicians completed 273,700 B2B sessions related to members covered under our health plan clients, as compared to 114,600 completed B2B sessions for the year ended December 31, 2020.</w:t>
      </w:r>
    </w:p>
    <w:p>
      <w:pPr>
        <w:spacing w:after="0" w:line="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Like the traditional face-to-face models, Talkspace providers are able to treat a wide range of mental health conditions, such as schizophrenia-spectrum disorders, bipolar disorders and depression, including through prescription medication and management from psychiatrists, up and until the point that the provider, in their discretion, feels 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“Second Merger” and, together with the First Merger, the “Business Combination”). In connection with the Business Combination, HEC filed the Certificate of Incorporation and changed its name to “Talkspace, Inc.”</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3, “Business Combination” in the notes to the consolidated financial statements 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While the global crisis resulting from the spread of COVID-19 has not had a negative impact on our business and results of operations so far, the COVID-19 pandemic has caused general business disruption worldwide. The full extent to which the COVID-19 pandemic will directly or indirectly impact our business, results of operations and financial condition will depend on future developments that are highly uncertain and cannot be accurately predicted, and we continue to closely monitor how the COVID-19 pandemic is impacting our business. Thus far, we believe that the COVID-19 pandemic has been a contributing factor to the acceleration of growth of our business. However, we cannot determine the extent to which our results of operations and overall financial performance have been affected by the COVID-19 pandemic. While our financial condition and results of operations were not negatively impacted by the COVID-19 pandemic, the impact of the pandemic on our future growth, results of operations, cash flow and financial condition is unknown, and we are unable to accurately predict such future impact. There can be no assurance that the circumstances that have accelerated the growth of our business stemming from the effects of the COVID-19 pandemic will continue over time whether during or after the COVID-19 pandemic.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operate our business in a single segment and as one reporting unit, which is how our chief operating decision maker (who is our interim chief executive officer) reviews financial performance and allocates resources.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60" w:type="dxa"/>
            <w:vAlign w:val="bottom"/>
            <w:gridSpan w:val="3"/>
          </w:tcPr>
          <w:p>
            <w:pPr>
              <w:jc w:val="center"/>
              <w:ind w:left="955"/>
              <w:spacing w:after="0"/>
              <w:rPr>
                <w:sz w:val="20"/>
                <w:szCs w:val="20"/>
                <w:color w:val="auto"/>
              </w:rPr>
            </w:pPr>
            <w:r>
              <w:rPr>
                <w:rFonts w:ascii="Arial" w:cs="Arial" w:eastAsia="Arial" w:hAnsi="Arial"/>
                <w:sz w:val="14"/>
                <w:szCs w:val="14"/>
                <w:b w:val="1"/>
                <w:bCs w:val="1"/>
                <w:color w:val="auto"/>
                <w:w w:val="92"/>
              </w:rPr>
              <w:t>For the Years Ended</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975"/>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number of health plan and enterprise clients or otherwise indicated)</w:t>
            </w:r>
          </w:p>
        </w:tc>
        <w:tc>
          <w:tcPr>
            <w:tcW w:w="16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Number of B2C active members at year end</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23.8</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29.5</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Number of B2B eligible lives at year end </w:t>
            </w:r>
            <w:r>
              <w:rPr>
                <w:rFonts w:ascii="Arial" w:cs="Arial" w:eastAsia="Arial" w:hAnsi="Arial"/>
                <w:sz w:val="18"/>
                <w:szCs w:val="18"/>
                <w:i w:val="1"/>
                <w:iCs w:val="1"/>
                <w:color w:val="auto"/>
              </w:rPr>
              <w:t>(in millions)</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Number of completed B2B sessions</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273.7</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114.6</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Number of health plan clients at year end</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Number of enterprise clients at year end</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Total number of active members at year end</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55.6</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number of members treated on Talkspace platform</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279.3</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197.3</w:t>
            </w:r>
          </w:p>
        </w:tc>
        <w:tc>
          <w:tcPr>
            <w:tcW w:w="6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Active Members: </w:t>
      </w:r>
      <w:r>
        <w:rPr>
          <w:rFonts w:ascii="Arial" w:cs="Arial" w:eastAsia="Arial" w:hAnsi="Arial"/>
          <w:sz w:val="16"/>
          <w:szCs w:val="16"/>
          <w:color w:val="auto"/>
        </w:rPr>
        <w:t>We consider members “active” (i) in the case of our B2C members, commencing on the date such member initiates contact with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While a growth in active members typically highlights strong engagement with our members, not all active members are associated with revenue in that particular period.</w:t>
      </w:r>
    </w:p>
    <w:p>
      <w:pPr>
        <w:spacing w:after="0" w:line="5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B2B Eligible Lives: </w:t>
      </w:r>
      <w:r>
        <w:rPr>
          <w:rFonts w:ascii="Arial" w:cs="Arial" w:eastAsia="Arial" w:hAnsi="Arial"/>
          <w:sz w:val="18"/>
          <w:szCs w:val="18"/>
          <w:color w:val="auto"/>
        </w:rPr>
        <w:t>We consider B2B lives “eligible” if such persons are eligible to receive treatment on the Talkspace platform, in the case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members than we actually serve.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this non-GAAP financial measure to net loss, the most directly comparable financial measure stated in accordance with GAAP. Investors are encouraged to review our GAAP financial measure and the reconciliation of our non-GAAP financial measure to its most directly comparable GAAP financial measure, and not to rely on any single financial measure to evaluate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7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We calculate adjusted EBITDA as net loss adjusted to exclude (i) interest and other expenses (income), net, (ii) tax expense, (iii) depreciation and amortization (iv) stock-based compensation expense and (v) certain non-recurring expenses, where applicable.</w:t>
      </w: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a reconciliation of adjusted EBITDA from the most comparable GAAP measure, net loss for the year ended December 31, 2021 and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For the Years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(62,742</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(22,370</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Add:</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1,973</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Financial (income) expense, net </w:t>
            </w:r>
            <w:r>
              <w:rPr>
                <w:rFonts w:ascii="Arial" w:cs="Arial" w:eastAsia="Arial" w:hAnsi="Arial"/>
                <w:sz w:val="23"/>
                <w:szCs w:val="23"/>
                <w:color w:val="auto"/>
                <w:vertAlign w:val="superscript"/>
              </w:rPr>
              <w:t>(1)</w:t>
            </w:r>
          </w:p>
        </w:tc>
        <w:tc>
          <w:tcPr>
            <w:tcW w:w="400" w:type="dxa"/>
            <w:vAlign w:val="bottom"/>
          </w:tcPr>
          <w:p>
            <w:pPr>
              <w:spacing w:after="0"/>
              <w:rPr>
                <w:sz w:val="17"/>
                <w:szCs w:val="17"/>
                <w:color w:val="auto"/>
              </w:rPr>
            </w:pPr>
          </w:p>
        </w:tc>
        <w:tc>
          <w:tcPr>
            <w:tcW w:w="1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(31,228 )</w:t>
            </w:r>
          </w:p>
        </w:tc>
        <w:tc>
          <w:tcPr>
            <w:tcW w:w="5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364</w:t>
            </w:r>
          </w:p>
        </w:tc>
        <w:tc>
          <w:tcPr>
            <w:tcW w:w="100" w:type="dxa"/>
            <w:vAlign w:val="bottom"/>
          </w:tcPr>
          <w:p>
            <w:pPr>
              <w:spacing w:after="0"/>
              <w:rPr>
                <w:sz w:val="17"/>
                <w:szCs w:val="17"/>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Taxes on income</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27,405</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2,977</w:t>
            </w:r>
          </w:p>
        </w:tc>
        <w:tc>
          <w:tcPr>
            <w:tcW w:w="100" w:type="dxa"/>
            <w:vAlign w:val="bottom"/>
          </w:tcPr>
          <w:p>
            <w:pPr>
              <w:spacing w:after="0"/>
              <w:rPr>
                <w:sz w:val="17"/>
                <w:szCs w:val="17"/>
                <w:color w:val="auto"/>
              </w:rPr>
            </w:pPr>
          </w:p>
        </w:tc>
      </w:tr>
      <w:tr>
        <w:trPr>
          <w:trHeight w:val="203"/>
        </w:trPr>
        <w:tc>
          <w:tcPr>
            <w:tcW w:w="7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Non-recurring expenses </w:t>
            </w:r>
            <w:r>
              <w:rPr>
                <w:rFonts w:ascii="Arial" w:cs="Arial" w:eastAsia="Arial" w:hAnsi="Arial"/>
                <w:sz w:val="23"/>
                <w:szCs w:val="23"/>
                <w:color w:val="auto"/>
                <w:vertAlign w:val="superscript"/>
              </w:rPr>
              <w:t>(2)</w:t>
            </w: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3,677</w:t>
            </w:r>
          </w:p>
        </w:tc>
        <w:tc>
          <w:tcPr>
            <w:tcW w:w="2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2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(60,868 )</w:t>
            </w:r>
          </w:p>
        </w:tc>
        <w:tc>
          <w:tcPr>
            <w:tcW w:w="580" w:type="dxa"/>
            <w:vAlign w:val="bottom"/>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(18,449 )</w:t>
            </w:r>
          </w:p>
        </w:tc>
      </w:tr>
      <w:tr>
        <w:trPr>
          <w:trHeight w:val="20"/>
        </w:trPr>
        <w:tc>
          <w:tcPr>
            <w:tcW w:w="7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-159385</wp:posOffset>
            </wp:positionV>
            <wp:extent cx="6032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42" w:lineRule="exact"/>
        <w:rPr>
          <w:sz w:val="20"/>
          <w:szCs w:val="20"/>
          <w:color w:val="auto"/>
        </w:rPr>
      </w:pPr>
    </w:p>
    <w:p>
      <w:pPr>
        <w:ind w:left="480" w:hanging="472"/>
        <w:spacing w:after="0" w:line="272" w:lineRule="auto"/>
        <w:tabs>
          <w:tab w:leader="none" w:pos="4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For the year ended December 31, 2021, financial income, net, primarily consisted of $36.0 million in gains resulting from the revaluation of warrant liabilities, partially offset by $4.2 million in warrant issuance costs in connection with the Closing of the Business Combination.</w:t>
      </w:r>
    </w:p>
    <w:p>
      <w:pPr>
        <w:jc w:val="both"/>
        <w:ind w:left="480" w:hanging="472"/>
        <w:spacing w:after="0" w:line="259" w:lineRule="auto"/>
        <w:tabs>
          <w:tab w:leader="none" w:pos="4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For the year ended December 31, 2021, non-recurring expenses primarily consisted of severance costs related to the separation of Oren Frank and Roni Frank, co-founders and former executives of the Company, in November 2021. For the year ended December 31, 2020, nonrecurring expenses consisted of legal expenses related to the acquisition of Lasting in November 2020.</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generate revenues from the sale of monthly, quarterly, bi-annual and annual membership subscriptions to our therapy platform as well as supplementary a la carte offerings, payments from members and their respective insurance companies and annually contracted platform access fees paid to us by our enterprise clients for the delivery of therapy services to their members or employees. We recognize B2C member subscription revenues ratably over the subscription period, beginning when therapy services commence. B2C members may cancel at any time and will receive a pro-rata refund for the subscription price.</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recognize contracted revenue from our enterprise clients from the commencement of their contracted term through the annual period based primarily on a per-member-per month model. We recognize revenues from services provided to insured members at a point in time, as virtual therapy session is rendered. Revenue is recognized in an amount that reflects the consideration that is expected in exchange for the service. Contracts with our enterprise clients are for one or more years with the ability to provide 60 days advance notice prior to termination at each year mark during the term. On occasion and depending on the client, we allow a 60 or 90 day intra-year termination notice but only after the client has completed the first year of service.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Revenue growth is generated from increasing our membership subscriptions, contracting with enterprise clients and health plans.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demonstrated continued revenue growth during the last three years as a direct result of the increased penetration of the direct-to-consumer market, and the Company’s 2018 entry into the commercial insurance and enterprise sales markets. The Company’s revenues grew 49.2% from $76.2 million for the year ended December 31, 2020 to $113.7 million for the year ended December 31,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revenues is comprised of therapist payments and hosting costs. Cost of revenues is largely driven by the size of our provider network that is required to service the growth of our customer base, in addition to the growth of our health plan and enterprise clients.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broad authority to approve the payment of incentive bonuses to providers with certain licenses during periods of higher demand for providers with such licenses. For our employee providers, they receive a fixed-salary and discretionary bonuses, where applicable.</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While we expect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aforementioned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consist of research and development, clinical operations, sales and marketing, and general and administrative expenses.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software-related costs, and cost savings related to the application of research grant proceeds.</w:t>
      </w:r>
    </w:p>
    <w:p>
      <w:pPr>
        <w:spacing w:after="0" w:line="80"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We expect research and development expenses will increase on an absolute dollar basis as we continue to grow our platform and product offerings; however, the anticipated corresponding future revenue growth is expected to result in lower research and development expenses as a percentage of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Operations Expenses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Clinical operations expenses are associated with the management of our provider network of therapists. Such costs are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We expect clinical operations expenses will increase on an absolute dollar basis as we continue to grow our provider network and product offerings.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Sales expenses consist primarily of employee-related expenses, including salaries, benefits, commissions, travel and stock-based compensation costs for our employees engaged in sales and account management. We expect our sales expenses to increase as we continue to invest in the expansion of our health plan and enterprise business. We expect to hire additional sales personnel and related account management personnel to properly service our increasing client base, to develop additional growth opportunities within existing clients and to develop new market opportunities.</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Marketing expenses consist primarily of advertising and marketing expenses for consumer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8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Consumer marketing expenses are primarily driven by investments to grow and retain our consumer base and may fluctuate as a percentage of our total revenue from period to period due to the timing and extent of our advertising and marketing expenses.</w:t>
      </w: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General and administrative expenses consist primarily of personnel costs, including salaries, benefits, bonuses and stock-based compensation expense for our executive, finance, accounting, legal and human resources functions, as well as professional fees, occupancy costs, and other general overhead costs. We expect to incur additional general and administrative expenses in compliance, legal, investor relations, director’s and officer’s insurance, and professional services related to our compliance and reporting obligations as a public company. We also anticipate that as we continue to grow as a company our general and administrative expenses will increase on an absolute dollar basis. However, we expect our general and administrative expenses to decrease as a percentage of our total revenue over the next several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(expense), net</w:t>
      </w:r>
    </w:p>
    <w:p>
      <w:pPr>
        <w:spacing w:after="0" w:line="104"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Financial income (expense), net, includes the impact from changes in the fair value of our warrant liabilities, issuance costs related to our warrant liabilities, interest earned on cash equivalents deposited in our bank accounts and other financial expenses in connection with bank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taxes on income consists primarily of foreign income taxes related to income generated by our subsidiary organized under the laws of Israel. As we expand the scale of our international business activities, any changes in the U.S. and foreign taxation of such activities may increase our overall provision for income taxes in the future.</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results of operations for the years ended December 31, 2021 and 2020 and the dollar and percentage change between the respective periods: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gridSpan w:val="6"/>
          </w:tcPr>
          <w:p>
            <w:pPr>
              <w:jc w:val="right"/>
              <w:ind w:right="1140"/>
              <w:spacing w:after="0"/>
              <w:rPr>
                <w:sz w:val="20"/>
                <w:szCs w:val="20"/>
                <w:color w:val="auto"/>
              </w:rPr>
            </w:pPr>
            <w:r>
              <w:rPr>
                <w:rFonts w:ascii="Arial" w:cs="Arial" w:eastAsia="Arial" w:hAnsi="Arial"/>
                <w:sz w:val="13"/>
                <w:szCs w:val="13"/>
                <w:b w:val="1"/>
                <w:bCs w:val="1"/>
                <w:color w:val="auto"/>
              </w:rPr>
              <w:t>Years Ended December 31,</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4"/>
        </w:trPr>
        <w:tc>
          <w:tcPr>
            <w:tcW w:w="4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Variance</w:t>
            </w:r>
          </w:p>
        </w:tc>
        <w:tc>
          <w:tcPr>
            <w:tcW w:w="1440" w:type="dxa"/>
            <w:vAlign w:val="bottom"/>
          </w:tcPr>
          <w:p>
            <w:pPr>
              <w:jc w:val="right"/>
              <w:ind w:right="59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r>
      <w:tr>
        <w:trPr>
          <w:trHeight w:val="143"/>
        </w:trPr>
        <w:tc>
          <w:tcPr>
            <w:tcW w:w="4540" w:type="dxa"/>
            <w:vAlign w:val="bottom"/>
          </w:tcPr>
          <w:p>
            <w:pPr>
              <w:ind w:left="20"/>
              <w:spacing w:after="0" w:line="142" w:lineRule="exact"/>
              <w:rPr>
                <w:sz w:val="20"/>
                <w:szCs w:val="20"/>
                <w:color w:val="auto"/>
              </w:rPr>
            </w:pPr>
            <w:r>
              <w:rPr>
                <w:rFonts w:ascii="Arial" w:cs="Arial" w:eastAsia="Arial" w:hAnsi="Arial"/>
                <w:sz w:val="13"/>
                <w:szCs w:val="13"/>
                <w:i w:val="1"/>
                <w:iCs w:val="1"/>
                <w:color w:val="auto"/>
              </w:rPr>
              <w:t>(in thousands, except percentages, share and per share data)</w:t>
            </w:r>
          </w:p>
        </w:tc>
        <w:tc>
          <w:tcPr>
            <w:tcW w:w="9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Revenues</w:t>
            </w:r>
          </w:p>
        </w:tc>
        <w:tc>
          <w:tcPr>
            <w:tcW w:w="920" w:type="dxa"/>
            <w:vAlign w:val="bottom"/>
            <w:shd w:val="clear" w:color="auto" w:fill="CFF0FC"/>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113,671</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5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76,190</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37,481</w:t>
            </w: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w:t>
            </w:r>
          </w:p>
        </w:tc>
        <w:tc>
          <w:tcPr>
            <w:tcW w:w="60" w:type="dxa"/>
            <w:vAlign w:val="bottom"/>
            <w:shd w:val="clear" w:color="auto" w:fill="CFF0FC"/>
          </w:tcPr>
          <w:p>
            <w:pPr>
              <w:spacing w:after="0"/>
              <w:rPr>
                <w:sz w:val="13"/>
                <w:szCs w:val="13"/>
                <w:color w:val="auto"/>
              </w:rPr>
            </w:pPr>
          </w:p>
        </w:tc>
      </w:tr>
      <w:tr>
        <w:trPr>
          <w:trHeight w:val="148"/>
        </w:trPr>
        <w:tc>
          <w:tcPr>
            <w:tcW w:w="4540" w:type="dxa"/>
            <w:vAlign w:val="bottom"/>
          </w:tcPr>
          <w:p>
            <w:pPr>
              <w:ind w:left="20"/>
              <w:spacing w:after="0"/>
              <w:rPr>
                <w:sz w:val="20"/>
                <w:szCs w:val="20"/>
                <w:color w:val="auto"/>
              </w:rPr>
            </w:pPr>
            <w:r>
              <w:rPr>
                <w:rFonts w:ascii="Arial" w:cs="Arial" w:eastAsia="Arial" w:hAnsi="Arial"/>
                <w:sz w:val="13"/>
                <w:szCs w:val="13"/>
                <w:color w:val="auto"/>
              </w:rPr>
              <w:t>Cost of revenues</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46,899</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26,353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20,546</w:t>
            </w:r>
          </w:p>
        </w:tc>
        <w:tc>
          <w:tcPr>
            <w:tcW w:w="2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78.0</w:t>
            </w:r>
          </w:p>
        </w:tc>
        <w:tc>
          <w:tcPr>
            <w:tcW w:w="60" w:type="dxa"/>
            <w:vAlign w:val="bottom"/>
          </w:tcPr>
          <w:p>
            <w:pPr>
              <w:spacing w:after="0"/>
              <w:rPr>
                <w:sz w:val="12"/>
                <w:szCs w:val="12"/>
                <w:color w:val="auto"/>
              </w:rPr>
            </w:pPr>
          </w:p>
        </w:tc>
      </w:tr>
      <w:tr>
        <w:trPr>
          <w:trHeight w:val="148"/>
        </w:trPr>
        <w:tc>
          <w:tcPr>
            <w:tcW w:w="4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Gross profit</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66,772</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49,837</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16,935</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w:t>
            </w:r>
          </w:p>
        </w:tc>
        <w:tc>
          <w:tcPr>
            <w:tcW w:w="60" w:type="dxa"/>
            <w:vAlign w:val="bottom"/>
            <w:shd w:val="clear" w:color="auto" w:fill="CFF0FC"/>
          </w:tcPr>
          <w:p>
            <w:pPr>
              <w:spacing w:after="0"/>
              <w:rPr>
                <w:sz w:val="12"/>
                <w:szCs w:val="12"/>
                <w:color w:val="auto"/>
              </w:rPr>
            </w:pPr>
          </w:p>
        </w:tc>
      </w:tr>
      <w:tr>
        <w:trPr>
          <w:trHeight w:val="149"/>
        </w:trPr>
        <w:tc>
          <w:tcPr>
            <w:tcW w:w="454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4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Research and development, net</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15,919</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6,336</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w:t>
            </w:r>
          </w:p>
        </w:tc>
        <w:tc>
          <w:tcPr>
            <w:tcW w:w="60" w:type="dxa"/>
            <w:vAlign w:val="bottom"/>
            <w:shd w:val="clear" w:color="auto" w:fill="CFF0FC"/>
          </w:tcPr>
          <w:p>
            <w:pPr>
              <w:spacing w:after="0"/>
              <w:rPr>
                <w:sz w:val="12"/>
                <w:szCs w:val="12"/>
                <w:color w:val="auto"/>
              </w:rPr>
            </w:pPr>
          </w:p>
        </w:tc>
      </w:tr>
      <w:tr>
        <w:trPr>
          <w:trHeight w:val="148"/>
        </w:trPr>
        <w:tc>
          <w:tcPr>
            <w:tcW w:w="4540" w:type="dxa"/>
            <w:vAlign w:val="bottom"/>
          </w:tcPr>
          <w:p>
            <w:pPr>
              <w:ind w:left="200"/>
              <w:spacing w:after="0"/>
              <w:rPr>
                <w:sz w:val="20"/>
                <w:szCs w:val="20"/>
                <w:color w:val="auto"/>
              </w:rPr>
            </w:pPr>
            <w:r>
              <w:rPr>
                <w:rFonts w:ascii="Arial" w:cs="Arial" w:eastAsia="Arial" w:hAnsi="Arial"/>
                <w:sz w:val="13"/>
                <w:szCs w:val="13"/>
                <w:color w:val="auto"/>
              </w:rPr>
              <w:t>Clinical operations</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9,365</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4,332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5,033</w:t>
            </w:r>
          </w:p>
        </w:tc>
        <w:tc>
          <w:tcPr>
            <w:tcW w:w="2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116.2</w:t>
            </w:r>
          </w:p>
        </w:tc>
        <w:tc>
          <w:tcPr>
            <w:tcW w:w="60" w:type="dxa"/>
            <w:vAlign w:val="bottom"/>
          </w:tcPr>
          <w:p>
            <w:pPr>
              <w:spacing w:after="0"/>
              <w:rPr>
                <w:sz w:val="12"/>
                <w:szCs w:val="12"/>
                <w:color w:val="auto"/>
              </w:rPr>
            </w:pPr>
          </w:p>
        </w:tc>
      </w:tr>
      <w:tr>
        <w:trPr>
          <w:trHeight w:val="149"/>
        </w:trPr>
        <w:tc>
          <w:tcPr>
            <w:tcW w:w="4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Sales and marketing</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100,641</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47,705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52,936</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111.0</w:t>
            </w:r>
          </w:p>
        </w:tc>
        <w:tc>
          <w:tcPr>
            <w:tcW w:w="60" w:type="dxa"/>
            <w:vAlign w:val="bottom"/>
            <w:shd w:val="clear" w:color="auto" w:fill="CFF0FC"/>
          </w:tcPr>
          <w:p>
            <w:pPr>
              <w:spacing w:after="0"/>
              <w:rPr>
                <w:sz w:val="12"/>
                <w:szCs w:val="12"/>
                <w:color w:val="auto"/>
              </w:rPr>
            </w:pPr>
          </w:p>
        </w:tc>
      </w:tr>
      <w:tr>
        <w:trPr>
          <w:trHeight w:val="148"/>
        </w:trPr>
        <w:tc>
          <w:tcPr>
            <w:tcW w:w="4540" w:type="dxa"/>
            <w:vAlign w:val="bottom"/>
          </w:tcPr>
          <w:p>
            <w:pPr>
              <w:ind w:left="200"/>
              <w:spacing w:after="0"/>
              <w:rPr>
                <w:sz w:val="20"/>
                <w:szCs w:val="20"/>
                <w:color w:val="auto"/>
              </w:rPr>
            </w:pPr>
            <w:r>
              <w:rPr>
                <w:rFonts w:ascii="Arial" w:cs="Arial" w:eastAsia="Arial" w:hAnsi="Arial"/>
                <w:sz w:val="13"/>
                <w:szCs w:val="13"/>
                <w:color w:val="auto"/>
              </w:rPr>
              <w:t>General and administrative</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34,770</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10,199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24,571</w:t>
            </w:r>
          </w:p>
        </w:tc>
        <w:tc>
          <w:tcPr>
            <w:tcW w:w="2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240.9</w:t>
            </w:r>
          </w:p>
        </w:tc>
        <w:tc>
          <w:tcPr>
            <w:tcW w:w="60" w:type="dxa"/>
            <w:vAlign w:val="bottom"/>
          </w:tcPr>
          <w:p>
            <w:pPr>
              <w:spacing w:after="0"/>
              <w:rPr>
                <w:sz w:val="12"/>
                <w:szCs w:val="12"/>
                <w:color w:val="auto"/>
              </w:rPr>
            </w:pPr>
          </w:p>
        </w:tc>
      </w:tr>
      <w:tr>
        <w:trPr>
          <w:trHeight w:val="149"/>
        </w:trPr>
        <w:tc>
          <w:tcPr>
            <w:tcW w:w="4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operating expenses</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160,695</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71,819</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88,876</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123.7</w:t>
            </w:r>
          </w:p>
        </w:tc>
        <w:tc>
          <w:tcPr>
            <w:tcW w:w="60" w:type="dxa"/>
            <w:vAlign w:val="bottom"/>
            <w:shd w:val="clear" w:color="auto" w:fill="CFF0FC"/>
          </w:tcPr>
          <w:p>
            <w:pPr>
              <w:spacing w:after="0"/>
              <w:rPr>
                <w:sz w:val="12"/>
                <w:szCs w:val="12"/>
                <w:color w:val="auto"/>
              </w:rPr>
            </w:pPr>
          </w:p>
        </w:tc>
      </w:tr>
      <w:tr>
        <w:trPr>
          <w:trHeight w:val="148"/>
        </w:trPr>
        <w:tc>
          <w:tcPr>
            <w:tcW w:w="4540" w:type="dxa"/>
            <w:vAlign w:val="bottom"/>
          </w:tcPr>
          <w:p>
            <w:pPr>
              <w:ind w:left="20"/>
              <w:spacing w:after="0"/>
              <w:rPr>
                <w:sz w:val="20"/>
                <w:szCs w:val="20"/>
                <w:color w:val="auto"/>
              </w:rPr>
            </w:pPr>
            <w:r>
              <w:rPr>
                <w:rFonts w:ascii="Arial" w:cs="Arial" w:eastAsia="Arial" w:hAnsi="Arial"/>
                <w:sz w:val="13"/>
                <w:szCs w:val="13"/>
                <w:color w:val="auto"/>
              </w:rPr>
              <w:t>Operating loss</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93,923</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21,982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71,941</w:t>
            </w:r>
          </w:p>
        </w:tc>
        <w:tc>
          <w:tcPr>
            <w:tcW w:w="2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327.3</w:t>
            </w:r>
          </w:p>
        </w:tc>
        <w:tc>
          <w:tcPr>
            <w:tcW w:w="60" w:type="dxa"/>
            <w:vAlign w:val="bottom"/>
          </w:tcPr>
          <w:p>
            <w:pPr>
              <w:spacing w:after="0"/>
              <w:rPr>
                <w:sz w:val="12"/>
                <w:szCs w:val="12"/>
                <w:color w:val="auto"/>
              </w:rPr>
            </w:pPr>
          </w:p>
        </w:tc>
      </w:tr>
      <w:tr>
        <w:trPr>
          <w:trHeight w:val="148"/>
        </w:trPr>
        <w:tc>
          <w:tcPr>
            <w:tcW w:w="4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Financial (income) expense, net</w:t>
            </w:r>
          </w:p>
        </w:tc>
        <w:tc>
          <w:tcPr>
            <w:tcW w:w="9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(31,228 )</w:t>
            </w: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(31,592 )</w:t>
            </w: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r>
      <w:tr>
        <w:trPr>
          <w:trHeight w:val="149"/>
        </w:trPr>
        <w:tc>
          <w:tcPr>
            <w:tcW w:w="4540" w:type="dxa"/>
            <w:vAlign w:val="bottom"/>
          </w:tcPr>
          <w:p>
            <w:pPr>
              <w:ind w:left="20"/>
              <w:spacing w:after="0"/>
              <w:rPr>
                <w:sz w:val="20"/>
                <w:szCs w:val="20"/>
                <w:color w:val="auto"/>
              </w:rPr>
            </w:pPr>
            <w:r>
              <w:rPr>
                <w:rFonts w:ascii="Arial" w:cs="Arial" w:eastAsia="Arial" w:hAnsi="Arial"/>
                <w:sz w:val="13"/>
                <w:szCs w:val="13"/>
                <w:color w:val="auto"/>
              </w:rPr>
              <w:t>Loss before taxes on income</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62,695</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22,346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40,349</w:t>
            </w:r>
          </w:p>
        </w:tc>
        <w:tc>
          <w:tcPr>
            <w:tcW w:w="2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180.6</w:t>
            </w:r>
          </w:p>
        </w:tc>
        <w:tc>
          <w:tcPr>
            <w:tcW w:w="60" w:type="dxa"/>
            <w:vAlign w:val="bottom"/>
          </w:tcPr>
          <w:p>
            <w:pPr>
              <w:spacing w:after="0"/>
              <w:rPr>
                <w:sz w:val="12"/>
                <w:szCs w:val="12"/>
                <w:color w:val="auto"/>
              </w:rPr>
            </w:pPr>
          </w:p>
        </w:tc>
      </w:tr>
      <w:tr>
        <w:trPr>
          <w:trHeight w:val="148"/>
        </w:trPr>
        <w:tc>
          <w:tcPr>
            <w:tcW w:w="4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Taxes on income</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w:t>
            </w:r>
          </w:p>
        </w:tc>
        <w:tc>
          <w:tcPr>
            <w:tcW w:w="60" w:type="dxa"/>
            <w:vAlign w:val="bottom"/>
            <w:shd w:val="clear" w:color="auto" w:fill="CFF0FC"/>
          </w:tcPr>
          <w:p>
            <w:pPr>
              <w:spacing w:after="0"/>
              <w:rPr>
                <w:sz w:val="12"/>
                <w:szCs w:val="12"/>
                <w:color w:val="auto"/>
              </w:rPr>
            </w:pPr>
          </w:p>
        </w:tc>
      </w:tr>
      <w:tr>
        <w:trPr>
          <w:trHeight w:val="148"/>
        </w:trPr>
        <w:tc>
          <w:tcPr>
            <w:tcW w:w="45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62,742</w:t>
            </w:r>
          </w:p>
        </w:tc>
        <w:tc>
          <w:tcPr>
            <w:tcW w:w="240" w:type="dxa"/>
            <w:vAlign w:val="bottom"/>
          </w:tcPr>
          <w:p>
            <w:pPr>
              <w:spacing w:after="0"/>
              <w:rPr>
                <w:sz w:val="12"/>
                <w:szCs w:val="12"/>
                <w:color w:val="auto"/>
              </w:rPr>
            </w:pPr>
          </w:p>
        </w:tc>
        <w:tc>
          <w:tcPr>
            <w:tcW w:w="900" w:type="dxa"/>
            <w:vAlign w:val="bottom"/>
          </w:tcPr>
          <w:p>
            <w:pPr>
              <w:jc w:val="right"/>
              <w:ind w:right="75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22,370</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40,372</w:t>
            </w:r>
          </w:p>
        </w:tc>
        <w:tc>
          <w:tcPr>
            <w:tcW w:w="2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180.5</w:t>
            </w:r>
          </w:p>
        </w:tc>
        <w:tc>
          <w:tcPr>
            <w:tcW w:w="60" w:type="dxa"/>
            <w:vAlign w:val="bottom"/>
          </w:tcPr>
          <w:p>
            <w:pPr>
              <w:spacing w:after="0"/>
              <w:rPr>
                <w:sz w:val="12"/>
                <w:szCs w:val="12"/>
                <w:color w:val="auto"/>
              </w:rPr>
            </w:pPr>
          </w:p>
        </w:tc>
      </w:tr>
      <w:tr>
        <w:trPr>
          <w:trHeight w:val="149"/>
        </w:trPr>
        <w:tc>
          <w:tcPr>
            <w:tcW w:w="45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Net loss per share </w:t>
            </w:r>
            <w:r>
              <w:rPr>
                <w:rFonts w:ascii="Arial" w:cs="Arial" w:eastAsia="Arial" w:hAnsi="Arial"/>
                <w:sz w:val="16"/>
                <w:szCs w:val="16"/>
                <w:color w:val="auto"/>
                <w:vertAlign w:val="superscript"/>
              </w:rPr>
              <w:t>(1)</w:t>
            </w:r>
            <w:r>
              <w:rPr>
                <w:rFonts w:ascii="Arial" w:cs="Arial" w:eastAsia="Arial" w:hAnsi="Arial"/>
                <w:sz w:val="13"/>
                <w:szCs w:val="13"/>
                <w:color w:val="auto"/>
              </w:rPr>
              <w:t>:</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4540" w:type="dxa"/>
            <w:vAlign w:val="bottom"/>
          </w:tcPr>
          <w:p>
            <w:pPr>
              <w:ind w:left="20"/>
              <w:spacing w:after="0"/>
              <w:rPr>
                <w:sz w:val="20"/>
                <w:szCs w:val="20"/>
                <w:color w:val="auto"/>
              </w:rPr>
            </w:pPr>
            <w:r>
              <w:rPr>
                <w:rFonts w:ascii="Arial" w:cs="Arial" w:eastAsia="Arial" w:hAnsi="Arial"/>
                <w:sz w:val="13"/>
                <w:szCs w:val="13"/>
                <w:color w:val="auto"/>
              </w:rPr>
              <w:t>Basic and Diluted</w:t>
            </w: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0.72</w:t>
            </w:r>
          </w:p>
        </w:tc>
        <w:tc>
          <w:tcPr>
            <w:tcW w:w="240" w:type="dxa"/>
            <w:vAlign w:val="bottom"/>
          </w:tcPr>
          <w:p>
            <w:pPr>
              <w:spacing w:after="0"/>
              <w:rPr>
                <w:sz w:val="12"/>
                <w:szCs w:val="12"/>
                <w:color w:val="auto"/>
              </w:rPr>
            </w:pPr>
          </w:p>
        </w:tc>
        <w:tc>
          <w:tcPr>
            <w:tcW w:w="900" w:type="dxa"/>
            <w:vAlign w:val="bottom"/>
          </w:tcPr>
          <w:p>
            <w:pPr>
              <w:jc w:val="right"/>
              <w:ind w:right="75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1.67</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(0.95 )</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(56.9 )</w:t>
            </w:r>
          </w:p>
        </w:tc>
      </w:tr>
      <w:tr>
        <w:trPr>
          <w:trHeight w:val="149"/>
        </w:trPr>
        <w:tc>
          <w:tcPr>
            <w:tcW w:w="45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Weighted average number of common shares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0"/>
        </w:trPr>
        <w:tc>
          <w:tcPr>
            <w:tcW w:w="4540" w:type="dxa"/>
            <w:vAlign w:val="bottom"/>
          </w:tcPr>
          <w:p>
            <w:pPr>
              <w:ind w:left="20"/>
              <w:spacing w:after="0"/>
              <w:rPr>
                <w:sz w:val="20"/>
                <w:szCs w:val="20"/>
                <w:color w:val="auto"/>
              </w:rPr>
            </w:pPr>
            <w:r>
              <w:rPr>
                <w:rFonts w:ascii="Arial" w:cs="Arial" w:eastAsia="Arial" w:hAnsi="Arial"/>
                <w:sz w:val="13"/>
                <w:szCs w:val="13"/>
                <w:color w:val="auto"/>
              </w:rPr>
              <w:t>Basic and Diluted</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6"/>
              </w:rPr>
              <w:t>86,775,948</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6"/>
              </w:rPr>
              <w:t>13,359,350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73,416,598</w:t>
            </w: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549.6</w:t>
            </w:r>
          </w:p>
        </w:tc>
        <w:tc>
          <w:tcPr>
            <w:tcW w:w="60" w:type="dxa"/>
            <w:vAlign w:val="bottom"/>
          </w:tcPr>
          <w:p>
            <w:pPr>
              <w:spacing w:after="0"/>
              <w:rPr>
                <w:sz w:val="13"/>
                <w:szCs w:val="13"/>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Percentage not meaningful</w:t>
      </w:r>
    </w:p>
    <w:p>
      <w:pPr>
        <w:spacing w:after="0" w:line="44" w:lineRule="exact"/>
        <w:rPr>
          <w:sz w:val="20"/>
          <w:szCs w:val="20"/>
          <w:color w:val="auto"/>
        </w:rPr>
      </w:pPr>
    </w:p>
    <w:p>
      <w:pPr>
        <w:ind w:firstLine="8"/>
        <w:spacing w:after="0" w:line="311" w:lineRule="auto"/>
        <w:tabs>
          <w:tab w:leader="none" w:pos="219"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Prior period results have been adjusted to reflect the exchange of Old Talkspace’s common stock for Talkspace’s common stock at an exchange ratio of approximately 1.134140 in June 2021 as a result of the Business Combination. See Note 3, “Business Combination” in the notes to the consolidated financial statements for further details.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2021 Compared to December 31,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Revenues increased by $37.5 million, or 49.2%, to $113.7 million for the year ended December 31, 2021 from $76.2 million for the year ended December 31, 2020. The increase was principally driven by an increase in year-over-year revenue from existing health plan clients, increased B2C member subscriptions and the addition of new enterprise clients, partially offset by higher revenue reserves primarily from our existing health plan clients. Revenue from our health plan clients, prior to the impact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revenue reserves, increased by $16.5 million, or 166.1%, to $26.4 million for the year ended December 31, 2021 from $9.9 million for the year ended December 31, 2020. During the year ended December 31, 2021, the Company recorded an increase in the revenue reserves of $4.1 million related to receivables from its health plan clients. This compares to an increase of $0.8 million in revenue reserves recorded during the year ended December 31, 2020. B2C member subscriptions revenue increased by $13.2 million, or 21.4%, to $74.8 million for the year ended December 31, 2021 from $61.6 million for the year ended December 31, 2020. Enterprise client contracts increased by 86 clients, or 119.4%, to 158 clients as of December 31, 2021 from 72 clients as of December 31, 2020. The increase in the number of enterprise clients increased revenue by $11.1 million, or 201.4%, to $16.6 million for the year ended December 31, 2021 from $5.5 million for the year ended December 31, 2020. We believe that the appeal of our technology platform, the quality of our providers and the cost of our services will continue to represent the primary drivers of revenue growth from B2C members and B2B clients.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revenues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Cost of revenues increased by $20.5 million, or 78.0%, to $46.9 million for the year ended December 31, 2021 from $26.4 million for the year ended December 31, 2020, primarily due to costs associated with an increase of providers on our platform. This increase of providers was required to service the increased demand for our therapy services in both our B2C and B2B businesses.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Total employee provider headcount was 287 as of December 31,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Gross profit increased by $16.9 million, or 34.0%, to $66.8 million for the year ended December 31, 2021 from $49.8 million for the year ended December 31, 2020. This increase was primarily due to the 49.2% increase in revenues, partially offset by higher cost of revenues due to an increase of providers on</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platform to support our increased demand. Gross margin was 58.7% for the year ended December 31, 2021, compared to 65.4% during the year ended December 31, 2020. The decrease in gross margin was due primarily to a revenue shift to our B2B business, higher revenue reserves and growth in our employee provider headcount during the year ended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expenses increased by $6.3 million, or 66.1%, to $15.9 million for the year ended December 31, 2021 from $9.6 million for the year ended December 31, 2020. This was primarily due to an increase of $6.4 million in employee-related costs, inclusive of non-cash stock compensation expense, partially offset by $1.0 million in cost savings related to the application of research grant proceeds.</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research and development employee headcount increased to 57 employees as of December 31, 2021, as compared to 38 employees as of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operations expenses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Clinical operations expenses increased by $5.0 million, or 116.2%, to $9.4 million for the year ended December 31, 2021 from $4.3 million for the year ended December 31, 2020. This was primarily due to an increase of $3.6 million in employee-related costs, inclusive of non-cash stock compensation expense, and a $0.9 million increase in provider recruiting costs.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Total clinical operation employee headcount increased to 31 employees as of December 31, 2021, as compared to 21 employees as of December 31, 2020.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expenses</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Sales and marketing expenses increased by $52.9 million, or 111.0%, to $100.6 million for the year ended December 31, 2021 from $47.7 million for the year ended December 31, 2020. The increase in sales and marketing expenses primarily consisted of a $38.4 million increase in direct marketing and promotional costs and a $10.6 million increase in employee-related costs inclusive of commissions and non-cash stock compensation expense.</w:t>
      </w:r>
    </w:p>
    <w:p>
      <w:pPr>
        <w:spacing w:after="0" w:line="5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Total sales and marketing employee headcount increased to 84 employees as of December 31, 2021, as compared to 61 employees as of December 31, 2020.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General and administrative expenses increased by $24.6 million, or 240.9% , to $34.8 million for the year ended December 31, 2021 from $10.2 million for the year ended December 31, 2020. This was primarily due to an increase of $19.5 million in employee-related costs inclusive of non-cash stock compensation expense of which $10.1 million related primarily to the Closing of the Business Combination, a $3.1 million increase in consulting and professional fees, and a $1.7 million increase in insurance costs.</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expect to incur additional general and administrative costs in compliance, legal, investor relations, insurance, and professional services related to our compliance and reporting obligations as a public company. We also anticipate that as we continue to grow as a company our general and administrative costs will increase on an absolute dollar basis. However, we expect our general and administrative expenses to decrease as a percentage of our total revenue over the next several years.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general and administrative employee headcount increased to 37 employees as of December 31, 2021, as compared to 18 employees as of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income (expense), net</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Financial income, net was $31.2 million for the year ended December 31, 2021, compared to financial expense, net of $0.4 million for the year ended December 31, 2020. The change in financial income (expense), net was primarily driven by gains resulting from the revaluation of warrant liabilities during the year ended December 31, 2021, partially offset by $4.2 million in warrant issuance costs related to the Closing of the Business Combination.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on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were minimal for the years ended December 31, 2021 and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2020 Compared to December 31, 2019</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a detailed discussion of the results for the year ended December 31, 2020 compared to the year ended December 31, 2019, please refer to the “Management’s Discussion and Analysis of Financial Condition and Results of Operations” section of the Company’s Form S-1 Registration Statement, filed on July 2,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Prior to the completion of the Business Combination, we have historically financed our operations and working capital through periodic issuances of convertible preferred stock. As a result of the Business Combination, we received $249.3 million in proceeds after the payment of transaction costs.</w:t>
      </w:r>
    </w:p>
    <w:p>
      <w:pPr>
        <w:spacing w:after="0" w:line="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2021, we had $198.3 million of cash and cash equivalents, which were held to finance our operations and support a variety of growth initiatives and investments. We had no debt as of December 31, 2021 or December 31, 2020 and expect to generate operating losses for the foreseeable future.</w:t>
      </w:r>
    </w:p>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currently anticipate to be able to fund our cash needs for at least the next twelve months using available cash and cash equivalent balances as of December 31, 2021.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Investing and 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summary consolidated cash flow information for the periods presented:</w:t>
      </w:r>
    </w:p>
    <w:p>
      <w:pPr>
        <w:spacing w:after="0" w:line="24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jc w:val="right"/>
              <w:ind w:right="796"/>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7"/>
              </w:rPr>
              <w:t>(65,711 )</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(15,175 )</w:t>
            </w: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(663 )</w:t>
            </w:r>
          </w:p>
        </w:tc>
        <w:tc>
          <w:tcPr>
            <w:tcW w:w="38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(11,303 )</w:t>
            </w: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251,382</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tcPr>
          <w:p>
            <w:pPr>
              <w:jc w:val="right"/>
              <w:ind w:right="796"/>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2"/>
              </w:rPr>
              <w:t>185,008</w:t>
            </w:r>
          </w:p>
        </w:tc>
        <w:tc>
          <w:tcPr>
            <w:tcW w:w="28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(26,384 )</w:t>
            </w:r>
          </w:p>
        </w:tc>
      </w:tr>
      <w:tr>
        <w:trPr>
          <w:trHeight w:val="20"/>
        </w:trPr>
        <w:tc>
          <w:tcPr>
            <w:tcW w:w="7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cash used in operating activities was $65.7 million and $15.2 million for the year ended December 31, 2021 and 2020, respectively. The increase in net cash used in operating activities was driven primarily by the negative impact from a higher net loss and unfavorable changes in working capital during the year ended December 31, 2021 compared to the year ended December 31, 2020. The higher net loss for the year ended December 31, 2021 was driven by higher investments in direct marketing and promotional costs to support future growth, partially offset by the additional gross profit generated from increased revenue. The unfavorable changes in working capital were driven primarily by higher payments on our payable balances and unfavorable timing on collections of receivables compared to prior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cash used in investing activities was $0.7 million for the year ended December 31, 2021, compared to $11.3 million for the year ended December 31, 2020. The change was driven primarily by the acquisition of Lasting in November 2020. The activity for the year ended December 31, 2021 relates to the purchases of computer equipment to support increased headcount.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Net cash provided by financing activities was $251.4 million and $0.1 million for the year ended December 31, 2021 and 2020, respectively. The increase was driven primarily by $249.3 million in proceeds, net of the payment of transaction costs, as a result of the closing of the Business Combination.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we did not have any short-term or long-term debt, capital lease obligations, long-term operating lease obligations, or long-term liabilities.</w:t>
      </w:r>
    </w:p>
    <w:p>
      <w:pPr>
        <w:spacing w:after="0" w:line="63"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Our commercial contract arrangements generally include certain provisions for indemnifying clients against liabilities if there is a breach of a client’s data or if our service infringes a third party’s intellectual property rights. To date, we have not incurred any material costs as a result of such indemnifications.</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and accompanying notes, which have been prepared in accordance with accounting principles generally accepted in the United States (“GAAP”). The preparation of consolidated financial statements in conformity with GAAP requires management to make estimates and assumptions that affect the reported amounts of assets, liabilities, revenue and expenses. We base our estimates on historical experience, current business factors, and various other assumptions that the Company believes are necessary to consider to form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 Accordingly, the accounting estimates used in the preparation of our consolidated financial statements will change as new events occur, as more experience is acquired, as additional information is obtained, and as our operating environment evolves.</w:t>
      </w:r>
    </w:p>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Changes in estimates are made when circumstances warrant. Such changes in estimates are reflected in the reported results of operations; if material, the effects of changes in estimates are disclosed in the notes to the consolidated financial statements. Significant estimates and assumptions reflected in these consolidated financial statements include, but are not limited to, revenue recognition, revenue reserves, business combinations, goodwill and intangible assets, warrant liabilities and stock-based compensation.</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significant areas involving management’s judgments and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were an early adopter of the requirements of the new revenue recognition standard, known as ASC 606, effective January 1, 2018, which utilizes the modified retrospective method of transition. Revenue is recognized upon satisfaction of our performance obligation to provide virtual behavioral healthcare services, which occur over time, when our customers have access to our platform and services. The Company also contracts with health insurance organizations to provide its therapy services to their eligible insured members, revenue is recognized at a point in time, as virtual therapy session is rendered. Revenue is recognized in an amount that reflects the consideration that we expect to receive in exchange for the services we provide.</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elected to use the practical expedient and recognize the incremental costs of obtaining contracts as an expense since the amortization period of the assets that the Company otherwise would have recognized is one year or 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deferred revenue balance consists of payments received from customers for which revenues have not yet been earned and recognized according to the criteria described above. The Company recognizes deferred revenues as revenues in the statement of operations and comprehensive loss once performance obligations have been performed and satisfied.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Reserves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reserves relate primarily to allowances for balances which collection is uncertain and estimated refunds. Account receivables are recorded at the invoiced amount and amounts for which revenue has been recognized but not invoiced, net of the impact from revenue reserves. Revenue reserves are based on the Company’s assessment of historical collection experience. The Company regularly reviews the adequacy of its reserve based on a combination of factors, including an assessment of the current customer’s aging balance, the nature of the balance and any receivables in dispute. The Company accrues for estimated refunds in the period in which the related revenue is recognized. Revenue reserves are recorded as a reduction against revenue when identified.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Business Combination</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June 22, 2021, the Company completed the Business Combination pursuant to the Merger Agreement dated January 12, 2021. The Business Combination was accounted for as a reverse recapitalization in accordance with GAAP. Under this method of accounting, HEC who was the legal acquirer, is treated as the “acquired” company for financial reporting purposes. Accordingly, the Business Combination was treated as the equivalent of Old Talkspace issuing stock for the net assets of HEC, accompanied by a recapitalization. The net assets of HEC are stated at historical cost, with no goodwill or other intangible assets recorded. Old Talkspace was determined to be the accounting acquirer based on the following predominant factors: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ind w:left="760" w:right="20" w:hanging="378"/>
        <w:spacing w:after="0" w:line="243"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Old Talkspace’s shareholders represent a relative majority of the voting rights in the Company and have the ability to nominate the members of the board of directors for the Company;</w:t>
      </w:r>
    </w:p>
    <w:p>
      <w:pPr>
        <w:spacing w:after="0" w:line="91"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Old Talkspace’s operations prior to the acquisition represent the ongoing operations of the Company;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Old Talkspace’s senior management represents a majority of the senior management of the Company.</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consolidated assets, liabilities and results of operations prior to the Business Combination are those of Old Talkspace. The shares and corresponding capital amounts and losses per share, prior to the Business Combination, have been retroactively restated based on shares reflecting the exchange ratio established in the Business Combination.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Warrant liabilities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the consummation of the Business Combination, the Company acquired Private Placement Warrants from HEC. Additionally, there were Private Placement Warrants that were issued related to the closing of the Forward Purchase Agreement with the HEC Fund. The Private Placement Warrants are accounted for as liabilities in accordance with ASC 815-40 and are presented within warrant liabilities in the accompanying consolidated balance sheets. The warrant liabilities are measured at fair value at inception and on a recurring basis, with changes in fair value presented within financial income (expense), net in the consolidated statement of operations and comprehensive loss. The Private Placement Warrants were valued using the Black-Scholes-Merton Model, which is considered to be a Level 3 fair value measurement. The primary unobservable input utilized in determining the fair value of the Private Placement Warrants is the expected volatility of the Company’s common stock. The expected volatility of the Company’s common stock was estimated to be approximately 67.8% as of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account for stock-based compensation in accordance with ASC No. 718, “Compensation—Stock Compensation.” which requires equity-based awards to be measured at fair value on the grant date and the resulting compensation cost to be recognized over the requisite service period.</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ASC No. 718 requires companies to estimate the fair value of stock options awards using an option-pricing model. We have selected the Black-Scholes-Merton option pricing model as the most appropriate fair value method for our stock-options awards. The option-pricing model requires a number of assumptions, of which the most significant are the expected stock price volatility and the expected option term. Expected volatility was calculated based upon similar traded companies’ historical share price movements as adequate historical experience is not available to provide a reasonable estimate.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calculated based on the yield from U.S. Treasury zero-coupon bonds with an equivalent term. We have historically not paid dividends and have no foreseeable plans to pay dividends. We recognize forfeitures of awards as they occur.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Determination of Fair Value of our Common Stock prior to the Business Combination</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Due to the absence of an active market for our shares of common stock prior to the Business Combination, the grant-date fair market value of the common shares underlying stock options was historically determined by management with the assistance of third-party valuation specialists and approved by the Company’s board of directors. Because there was no public market for the Company’s common shares, the Board of Directors exercised reasonable judgment and considered a number of objective and subjective factors to determine the best estimate of the fair market value, which included important developments in the Company’s operations, the prices at which the Company sold shares of its convertible preferred shares, the rights, preferences and privileges of the Company’s convertible preferred shares relative to those of the Company’s common shares, actual operating results, financial performance and the lack of marketability of the Company’s common shares.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2, “Summary of Significant Accounting Policies and Estimates” in the notes to the consolidated financial statements for additional information regarding the Company’s critical accounting policies and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See Note 2, “Summary of Significant Accounting Policies and Estimates” in the notes to the consolidated financial statements for information regarding recent accounting developments and their impact on our results.</w:t>
      </w: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had cash and cash equivalents totaling $198.3 million and $13.2 million as of December 31, 2021 and December 31, 2020, respectively. Cash and cash equivalents are held for a variety of growth and investments as well as working capital purposes.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believe that a hypothetical increase or decrease of 100 basis points in interest rates would have a material effect on our business, financial condition or results of operations. However, our cash equivalents are subject to market risk due to changes in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date, a substantial majority of our revenue from customer arrangements has been denominated in U.S. dollars. We have limited operations outside the United States. Accordingly, we believe we do not have a material exposure to foreign currency risk. In the future, we may choose to focus on international expansion, which may increase our exposure to foreign currency exchange risk.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9900" w:type="dxa"/>
            <w:vAlign w:val="bottom"/>
            <w:gridSpan w:val="1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3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749"/>
        </w:trPr>
        <w:tc>
          <w:tcPr>
            <w:tcW w:w="990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3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740" w:type="dxa"/>
            <w:vAlign w:val="bottom"/>
            <w:gridSpan w:val="7"/>
          </w:tcPr>
          <w:p>
            <w:pPr>
              <w:jc w:val="center"/>
              <w:ind w:right="1820"/>
              <w:spacing w:after="0"/>
              <w:rPr>
                <w:sz w:val="20"/>
                <w:szCs w:val="20"/>
                <w:color w:val="auto"/>
              </w:rPr>
            </w:pPr>
            <w:r>
              <w:rPr>
                <w:rFonts w:ascii="Arial" w:cs="Arial" w:eastAsia="Arial" w:hAnsi="Arial"/>
                <w:sz w:val="18"/>
                <w:szCs w:val="18"/>
                <w:b w:val="1"/>
                <w:bCs w:val="1"/>
                <w:color w:val="auto"/>
              </w:rPr>
              <w:t>INDEX TO CONSOLIDATED FINANCIAL STATEMENTS</w:t>
            </w:r>
          </w:p>
        </w:tc>
        <w:tc>
          <w:tcPr>
            <w:tcW w:w="1340" w:type="dxa"/>
            <w:vAlign w:val="bottom"/>
          </w:tcPr>
          <w:p>
            <w:pPr>
              <w:spacing w:after="0"/>
              <w:rPr>
                <w:sz w:val="24"/>
                <w:szCs w:val="24"/>
                <w:color w:val="auto"/>
              </w:rPr>
            </w:pPr>
          </w:p>
        </w:tc>
      </w:tr>
      <w:tr>
        <w:trPr>
          <w:trHeight w:val="392"/>
        </w:trPr>
        <w:tc>
          <w:tcPr>
            <w:tcW w:w="20" w:type="dxa"/>
            <w:vAlign w:val="bottom"/>
            <w:tcBorders>
              <w:bottom w:val="single" w:sz="8" w:color="0000EE"/>
            </w:tcBorders>
          </w:tcPr>
          <w:p>
            <w:pPr>
              <w:spacing w:after="0"/>
              <w:rPr>
                <w:sz w:val="24"/>
                <w:szCs w:val="24"/>
                <w:color w:val="auto"/>
              </w:rPr>
            </w:pPr>
          </w:p>
        </w:tc>
        <w:tc>
          <w:tcPr>
            <w:tcW w:w="42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Report of Independent Registered Public Accounting Firm</w:t>
              </w:r>
            </w:hyperlink>
          </w:p>
        </w:tc>
        <w:tc>
          <w:tcPr>
            <w:tcW w:w="20" w:type="dxa"/>
            <w:vAlign w:val="bottom"/>
            <w:tcBorders>
              <w:bottom w:val="single" w:sz="8" w:color="0000EE"/>
            </w:tcBorders>
          </w:tcPr>
          <w:p>
            <w:pPr>
              <w:spacing w:after="0"/>
              <w:rPr>
                <w:sz w:val="24"/>
                <w:szCs w:val="24"/>
                <w:color w:val="auto"/>
              </w:rPr>
            </w:pPr>
          </w:p>
        </w:tc>
        <w:tc>
          <w:tcPr>
            <w:tcW w:w="5640" w:type="dxa"/>
            <w:vAlign w:val="bottom"/>
            <w:gridSpan w:val="5"/>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169"/>
        </w:trPr>
        <w:tc>
          <w:tcPr>
            <w:tcW w:w="20" w:type="dxa"/>
            <w:vAlign w:val="bottom"/>
            <w:tcBorders>
              <w:bottom w:val="single" w:sz="8" w:color="0000EE"/>
            </w:tcBorders>
          </w:tcPr>
          <w:p>
            <w:pPr>
              <w:spacing w:after="0"/>
              <w:rPr>
                <w:sz w:val="14"/>
                <w:szCs w:val="14"/>
                <w:color w:val="auto"/>
              </w:rPr>
            </w:pPr>
          </w:p>
        </w:tc>
        <w:tc>
          <w:tcPr>
            <w:tcW w:w="4240" w:type="dxa"/>
            <w:vAlign w:val="bottom"/>
            <w:tcBorders>
              <w:bottom w:val="single" w:sz="8" w:color="0000FF"/>
            </w:tcBorders>
            <w:gridSpan w:val="4"/>
          </w:tcPr>
          <w:p>
            <w:pPr>
              <w:spacing w:after="0" w:line="169" w:lineRule="exact"/>
              <w:rPr>
                <w:rFonts w:ascii="Arial" w:cs="Arial" w:eastAsia="Arial" w:hAnsi="Arial"/>
                <w:sz w:val="18"/>
                <w:szCs w:val="18"/>
                <w:color w:val="0000FF"/>
                <w:w w:val="88"/>
              </w:rPr>
            </w:pPr>
            <w:hyperlink w:anchor="page75">
              <w:r>
                <w:rPr>
                  <w:rFonts w:ascii="Arial" w:cs="Arial" w:eastAsia="Arial" w:hAnsi="Arial"/>
                  <w:sz w:val="18"/>
                  <w:szCs w:val="18"/>
                  <w:color w:val="0000FF"/>
                  <w:w w:val="88"/>
                </w:rPr>
                <w:t>Consolidated Balance Sheets as of December 31, 2021 and</w:t>
              </w:r>
            </w:hyperlink>
          </w:p>
        </w:tc>
        <w:tc>
          <w:tcPr>
            <w:tcW w:w="400" w:type="dxa"/>
            <w:vAlign w:val="bottom"/>
            <w:tcBorders>
              <w:bottom w:val="single" w:sz="8" w:color="0000FF"/>
            </w:tcBorders>
          </w:tcPr>
          <w:p>
            <w:pPr>
              <w:jc w:val="right"/>
              <w:spacing w:after="0" w:line="169" w:lineRule="exact"/>
              <w:rPr>
                <w:rFonts w:ascii="Arial" w:cs="Arial" w:eastAsia="Arial" w:hAnsi="Arial"/>
                <w:sz w:val="18"/>
                <w:szCs w:val="18"/>
                <w:color w:val="0000FF"/>
                <w:w w:val="94"/>
              </w:rPr>
            </w:pPr>
            <w:hyperlink w:anchor="page75">
              <w:r>
                <w:rPr>
                  <w:rFonts w:ascii="Arial" w:cs="Arial" w:eastAsia="Arial" w:hAnsi="Arial"/>
                  <w:sz w:val="18"/>
                  <w:szCs w:val="18"/>
                  <w:color w:val="0000FF"/>
                  <w:w w:val="94"/>
                </w:rPr>
                <w:t>2020</w:t>
              </w:r>
            </w:hyperlink>
          </w:p>
        </w:tc>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8"/>
                <w:szCs w:val="18"/>
                <w:color w:val="auto"/>
              </w:rPr>
              <w:t>74</w:t>
            </w:r>
          </w:p>
        </w:tc>
      </w:tr>
      <w:tr>
        <w:trPr>
          <w:trHeight w:val="169"/>
        </w:trPr>
        <w:tc>
          <w:tcPr>
            <w:tcW w:w="20" w:type="dxa"/>
            <w:vAlign w:val="bottom"/>
          </w:tcPr>
          <w:p>
            <w:pPr>
              <w:spacing w:after="0"/>
              <w:rPr>
                <w:sz w:val="14"/>
                <w:szCs w:val="14"/>
                <w:color w:val="auto"/>
              </w:rPr>
            </w:pPr>
          </w:p>
        </w:tc>
        <w:tc>
          <w:tcPr>
            <w:tcW w:w="4640" w:type="dxa"/>
            <w:vAlign w:val="bottom"/>
            <w:gridSpan w:val="5"/>
          </w:tcPr>
          <w:p>
            <w:pPr>
              <w:spacing w:after="0" w:line="169" w:lineRule="exact"/>
              <w:rPr>
                <w:rFonts w:ascii="Arial" w:cs="Arial" w:eastAsia="Arial" w:hAnsi="Arial"/>
                <w:sz w:val="18"/>
                <w:szCs w:val="18"/>
                <w:color w:val="0000FF"/>
                <w:w w:val="88"/>
              </w:rPr>
            </w:pPr>
            <w:hyperlink w:anchor="page76">
              <w:r>
                <w:rPr>
                  <w:rFonts w:ascii="Arial" w:cs="Arial" w:eastAsia="Arial" w:hAnsi="Arial"/>
                  <w:sz w:val="18"/>
                  <w:szCs w:val="18"/>
                  <w:color w:val="0000FF"/>
                  <w:w w:val="88"/>
                </w:rPr>
                <w:t>Consolidated Statements of Operations and Comprehensive Loss</w:t>
              </w:r>
            </w:hyperlink>
          </w:p>
        </w:tc>
        <w:tc>
          <w:tcPr>
            <w:tcW w:w="5240" w:type="dxa"/>
            <w:vAlign w:val="bottom"/>
            <w:gridSpan w:val="4"/>
          </w:tcPr>
          <w:p>
            <w:pPr>
              <w:ind w:left="80"/>
              <w:spacing w:after="0" w:line="169" w:lineRule="exact"/>
              <w:rPr>
                <w:rFonts w:ascii="Arial" w:cs="Arial" w:eastAsia="Arial" w:hAnsi="Arial"/>
                <w:sz w:val="18"/>
                <w:szCs w:val="18"/>
                <w:color w:val="0000FF"/>
              </w:rPr>
            </w:pPr>
            <w:hyperlink w:anchor="page76">
              <w:r>
                <w:rPr>
                  <w:rFonts w:ascii="Arial" w:cs="Arial" w:eastAsia="Arial" w:hAnsi="Arial"/>
                  <w:sz w:val="18"/>
                  <w:szCs w:val="18"/>
                  <w:color w:val="0000FF"/>
                </w:rPr>
                <w:t>for the years ended December 31, 2021, 2020 and 2019</w:t>
              </w:r>
            </w:hyperlink>
          </w:p>
        </w:tc>
        <w:tc>
          <w:tcPr>
            <w:tcW w:w="1340" w:type="dxa"/>
            <w:vAlign w:val="bottom"/>
          </w:tcPr>
          <w:p>
            <w:pPr>
              <w:jc w:val="right"/>
              <w:spacing w:after="0" w:line="169" w:lineRule="exact"/>
              <w:rPr>
                <w:sz w:val="20"/>
                <w:szCs w:val="20"/>
                <w:color w:val="auto"/>
              </w:rPr>
            </w:pPr>
            <w:r>
              <w:rPr>
                <w:rFonts w:ascii="Arial" w:cs="Arial" w:eastAsia="Arial" w:hAnsi="Arial"/>
                <w:sz w:val="18"/>
                <w:szCs w:val="18"/>
                <w:color w:val="auto"/>
              </w:rPr>
              <w:t>75</w:t>
            </w:r>
          </w:p>
        </w:tc>
      </w:tr>
      <w:tr>
        <w:trPr>
          <w:trHeight w:val="169"/>
        </w:trPr>
        <w:tc>
          <w:tcPr>
            <w:tcW w:w="20" w:type="dxa"/>
            <w:vAlign w:val="bottom"/>
            <w:tcBorders>
              <w:top w:val="single" w:sz="8" w:color="0000EE"/>
            </w:tcBorders>
          </w:tcPr>
          <w:p>
            <w:pPr>
              <w:spacing w:after="0"/>
              <w:rPr>
                <w:sz w:val="14"/>
                <w:szCs w:val="14"/>
                <w:color w:val="auto"/>
              </w:rPr>
            </w:pPr>
          </w:p>
        </w:tc>
        <w:tc>
          <w:tcPr>
            <w:tcW w:w="872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w:anchor="page77">
              <w:r>
                <w:rPr>
                  <w:rFonts w:ascii="Arial" w:cs="Arial" w:eastAsia="Arial" w:hAnsi="Arial"/>
                  <w:sz w:val="18"/>
                  <w:szCs w:val="18"/>
                  <w:color w:val="0000FF"/>
                </w:rPr>
                <w:t>Consolidated Statements of Stockholders’ Equity for the years ended December 31, 2021, 2020 and 2019</w:t>
              </w:r>
            </w:hyperlink>
          </w:p>
        </w:tc>
        <w:tc>
          <w:tcPr>
            <w:tcW w:w="116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8"/>
                <w:szCs w:val="18"/>
                <w:color w:val="auto"/>
              </w:rPr>
              <w:t>76</w:t>
            </w:r>
          </w:p>
        </w:tc>
      </w:tr>
      <w:tr>
        <w:trPr>
          <w:trHeight w:val="169"/>
        </w:trPr>
        <w:tc>
          <w:tcPr>
            <w:tcW w:w="20" w:type="dxa"/>
            <w:vAlign w:val="bottom"/>
            <w:tcBorders>
              <w:top w:val="single" w:sz="8" w:color="0000EE"/>
            </w:tcBorders>
          </w:tcPr>
          <w:p>
            <w:pPr>
              <w:spacing w:after="0"/>
              <w:rPr>
                <w:sz w:val="14"/>
                <w:szCs w:val="14"/>
                <w:color w:val="auto"/>
              </w:rPr>
            </w:pPr>
          </w:p>
        </w:tc>
        <w:tc>
          <w:tcPr>
            <w:tcW w:w="7580" w:type="dxa"/>
            <w:vAlign w:val="bottom"/>
            <w:tcBorders>
              <w:top w:val="single" w:sz="8" w:color="0000FF"/>
            </w:tcBorders>
            <w:gridSpan w:val="7"/>
          </w:tcPr>
          <w:p>
            <w:pPr>
              <w:spacing w:after="0" w:line="169" w:lineRule="exact"/>
              <w:rPr>
                <w:rFonts w:ascii="Arial" w:cs="Arial" w:eastAsia="Arial" w:hAnsi="Arial"/>
                <w:sz w:val="18"/>
                <w:szCs w:val="18"/>
                <w:color w:val="0000FF"/>
                <w:w w:val="97"/>
              </w:rPr>
            </w:pPr>
            <w:hyperlink w:anchor="page78">
              <w:r>
                <w:rPr>
                  <w:rFonts w:ascii="Arial" w:cs="Arial" w:eastAsia="Arial" w:hAnsi="Arial"/>
                  <w:sz w:val="18"/>
                  <w:szCs w:val="18"/>
                  <w:color w:val="0000FF"/>
                  <w:w w:val="97"/>
                </w:rPr>
                <w:t>Consolidated Statements of Cash Flows for the years ended December 31, 2021, 2020 and 2019</w:t>
              </w:r>
            </w:hyperlink>
          </w:p>
        </w:tc>
        <w:tc>
          <w:tcPr>
            <w:tcW w:w="2300" w:type="dxa"/>
            <w:vAlign w:val="bottom"/>
            <w:gridSpan w:val="2"/>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8"/>
                <w:szCs w:val="18"/>
                <w:color w:val="auto"/>
              </w:rPr>
              <w:t>77</w:t>
            </w:r>
          </w:p>
        </w:tc>
      </w:tr>
      <w:tr>
        <w:trPr>
          <w:trHeight w:val="169"/>
        </w:trPr>
        <w:tc>
          <w:tcPr>
            <w:tcW w:w="20" w:type="dxa"/>
            <w:vAlign w:val="bottom"/>
            <w:tcBorders>
              <w:top w:val="single" w:sz="8" w:color="0000EE"/>
            </w:tcBorders>
          </w:tcPr>
          <w:p>
            <w:pPr>
              <w:spacing w:after="0"/>
              <w:rPr>
                <w:sz w:val="14"/>
                <w:szCs w:val="14"/>
                <w:color w:val="auto"/>
              </w:rPr>
            </w:pPr>
          </w:p>
        </w:tc>
        <w:tc>
          <w:tcPr>
            <w:tcW w:w="690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79">
              <w:r>
                <w:rPr>
                  <w:rFonts w:ascii="Arial" w:cs="Arial" w:eastAsia="Arial" w:hAnsi="Arial"/>
                  <w:sz w:val="18"/>
                  <w:szCs w:val="18"/>
                  <w:color w:val="0000FF"/>
                </w:rPr>
                <w:t>Notes to Consolidated Financial Statements</w:t>
              </w:r>
            </w:hyperlink>
          </w:p>
        </w:tc>
        <w:tc>
          <w:tcPr>
            <w:tcW w:w="2980" w:type="dxa"/>
            <w:vAlign w:val="bottom"/>
            <w:gridSpan w:val="3"/>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8"/>
                <w:szCs w:val="18"/>
                <w:color w:val="auto"/>
              </w:rPr>
              <w:t>78</w:t>
            </w:r>
          </w:p>
        </w:tc>
      </w:tr>
      <w:tr>
        <w:trPr>
          <w:trHeight w:val="628"/>
        </w:trPr>
        <w:tc>
          <w:tcPr>
            <w:tcW w:w="20" w:type="dxa"/>
            <w:vAlign w:val="bottom"/>
          </w:tcPr>
          <w:p>
            <w:pPr>
              <w:spacing w:after="0"/>
              <w:rPr>
                <w:sz w:val="24"/>
                <w:szCs w:val="24"/>
                <w:color w:val="auto"/>
              </w:rPr>
            </w:pPr>
          </w:p>
        </w:tc>
        <w:tc>
          <w:tcPr>
            <w:tcW w:w="3140" w:type="dxa"/>
            <w:vAlign w:val="bottom"/>
            <w:tcBorders>
              <w:top w:val="single" w:sz="8" w:color="0000FF"/>
            </w:tcBorders>
            <w:gridSpan w:val="2"/>
          </w:tcPr>
          <w:p>
            <w:pPr>
              <w:spacing w:after="0"/>
              <w:rPr>
                <w:sz w:val="24"/>
                <w:szCs w:val="24"/>
                <w:color w:val="auto"/>
              </w:rPr>
            </w:pPr>
          </w:p>
        </w:tc>
        <w:tc>
          <w:tcPr>
            <w:tcW w:w="3760" w:type="dxa"/>
            <w:vAlign w:val="bottom"/>
            <w:gridSpan w:val="4"/>
          </w:tcPr>
          <w:p>
            <w:pPr>
              <w:jc w:val="right"/>
              <w:ind w:right="1110"/>
              <w:spacing w:after="0"/>
              <w:rPr>
                <w:sz w:val="20"/>
                <w:szCs w:val="20"/>
                <w:color w:val="auto"/>
              </w:rPr>
            </w:pPr>
            <w:r>
              <w:rPr>
                <w:rFonts w:ascii="Arial" w:cs="Arial" w:eastAsia="Arial" w:hAnsi="Arial"/>
                <w:sz w:val="18"/>
                <w:szCs w:val="18"/>
                <w:color w:val="auto"/>
              </w:rPr>
              <w:t>71</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Talkspace, Inc.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audited the accompanying consolidated balance sheets of Talkspace Inc. (the “Company”) as of December 31, 2021 and 2020, the related consolidated statements of operations and comprehensive loss,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954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Valuations of Private Warrant Liability and Stock Options</w:t>
            </w:r>
          </w:p>
        </w:tc>
        <w:tc>
          <w:tcPr>
            <w:tcW w:w="0" w:type="dxa"/>
            <w:vAlign w:val="bottom"/>
          </w:tcPr>
          <w:p>
            <w:pPr>
              <w:spacing w:after="0"/>
              <w:rPr>
                <w:sz w:val="1"/>
                <w:szCs w:val="1"/>
                <w:color w:val="auto"/>
              </w:rPr>
            </w:pPr>
          </w:p>
        </w:tc>
      </w:tr>
      <w:tr>
        <w:trPr>
          <w:trHeight w:val="168"/>
        </w:trPr>
        <w:tc>
          <w:tcPr>
            <w:tcW w:w="128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9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Description of the</w:t>
            </w: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9"/>
              </w:rPr>
              <w:t>As discussed in Notes 8 and 13 to the consolidated financial statements, the fair value of the Private Warrant Liability</w:t>
            </w:r>
          </w:p>
        </w:tc>
        <w:tc>
          <w:tcPr>
            <w:tcW w:w="0" w:type="dxa"/>
            <w:vAlign w:val="bottom"/>
          </w:tcPr>
          <w:p>
            <w:pPr>
              <w:spacing w:after="0"/>
              <w:rPr>
                <w:sz w:val="1"/>
                <w:szCs w:val="1"/>
                <w:color w:val="auto"/>
              </w:rPr>
            </w:pPr>
          </w:p>
        </w:tc>
      </w:tr>
      <w:tr>
        <w:trPr>
          <w:trHeight w:val="176"/>
        </w:trPr>
        <w:tc>
          <w:tcPr>
            <w:tcW w:w="16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Matter</w:t>
            </w: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2"/>
              </w:rPr>
              <w:t>(“Warrant”) as of December 31, 2021 totaled $4.1 million and the fair value adjustments for the Warrant during the year ended</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3"/>
              </w:rPr>
              <w:t>December 31, 2021 totaled $36.0 million. In addition, the grant date fair value of the Stock Options (“Options”) granted during</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0"/>
              </w:rPr>
              <w:t>the year ended December 31, 2021 totaled $30.4 million, and the unrecognized compensation expense related to the Options as</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6"/>
              </w:rPr>
              <w:t>of this date totaled $17.4 million. The Warrant and Options were valued using a Black-Scholes model that utilized various</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5"/>
              </w:rPr>
              <w:t>assumptions, including term, stock price, volatility, risk free rate and dividend yield. The volatility assumption was the most</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2"/>
              </w:rPr>
              <w:t>critical assumption as it had a significant effect on the fair value of the Warrant and the grant date fair value of the Options and</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2"/>
              </w:rPr>
              <w:t>the correlated compensation expense. The volatility assumption was calculated mainly using the equity volatilities of guideline</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Arial" w:cs="Arial" w:eastAsia="Arial" w:hAnsi="Arial"/>
                <w:sz w:val="18"/>
                <w:szCs w:val="18"/>
                <w:color w:val="auto"/>
                <w:w w:val="98"/>
              </w:rPr>
              <w:t>public companies, which were selected based on the similarity of their operations and duration to that of the Company.</w:t>
            </w:r>
          </w:p>
        </w:tc>
        <w:tc>
          <w:tcPr>
            <w:tcW w:w="0" w:type="dxa"/>
            <w:vAlign w:val="bottom"/>
          </w:tcPr>
          <w:p>
            <w:pPr>
              <w:spacing w:after="0"/>
              <w:rPr>
                <w:sz w:val="1"/>
                <w:szCs w:val="1"/>
                <w:color w:val="auto"/>
              </w:rPr>
            </w:pPr>
          </w:p>
        </w:tc>
      </w:tr>
      <w:tr>
        <w:trPr>
          <w:trHeight w:val="323"/>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Arial" w:cs="Arial" w:eastAsia="Arial" w:hAnsi="Arial"/>
                <w:sz w:val="18"/>
                <w:szCs w:val="18"/>
                <w:color w:val="auto"/>
              </w:rPr>
              <w:t>Auditing the fair value of the Warrant and the Options were complex due to the highly judgmental nature of selecting</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3"/>
              </w:rPr>
              <w:t>appropriate model assumptions, especially the guideline public companies used to determine the critical volatility assumption</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Arial" w:cs="Arial" w:eastAsia="Arial" w:hAnsi="Arial"/>
                <w:sz w:val="18"/>
                <w:szCs w:val="18"/>
                <w:color w:val="auto"/>
              </w:rPr>
              <w:t>used in the calculation of the grant date fair value and the correlated recognition of compensation expense.</w:t>
            </w:r>
          </w:p>
        </w:tc>
        <w:tc>
          <w:tcPr>
            <w:tcW w:w="0" w:type="dxa"/>
            <w:vAlign w:val="bottom"/>
          </w:tcPr>
          <w:p>
            <w:pPr>
              <w:spacing w:after="0"/>
              <w:rPr>
                <w:sz w:val="1"/>
                <w:szCs w:val="1"/>
                <w:color w:val="auto"/>
              </w:rPr>
            </w:pPr>
          </w:p>
        </w:tc>
      </w:tr>
      <w:tr>
        <w:trPr>
          <w:trHeight w:val="323"/>
        </w:trPr>
        <w:tc>
          <w:tcPr>
            <w:tcW w:w="1680" w:type="dxa"/>
            <w:vAlign w:val="bottom"/>
            <w:gridSpan w:val="2"/>
          </w:tcPr>
          <w:p>
            <w:pPr>
              <w:ind w:left="20"/>
              <w:spacing w:after="0"/>
              <w:rPr>
                <w:sz w:val="20"/>
                <w:szCs w:val="20"/>
                <w:color w:val="auto"/>
              </w:rPr>
            </w:pPr>
            <w:r>
              <w:rPr>
                <w:rFonts w:ascii="Arial" w:cs="Arial" w:eastAsia="Arial" w:hAnsi="Arial"/>
                <w:sz w:val="18"/>
                <w:szCs w:val="18"/>
                <w:i w:val="1"/>
                <w:iCs w:val="1"/>
                <w:color w:val="auto"/>
              </w:rPr>
              <w:t>How We Addressed</w:t>
            </w:r>
          </w:p>
        </w:tc>
        <w:tc>
          <w:tcPr>
            <w:tcW w:w="9540" w:type="dxa"/>
            <w:vAlign w:val="bottom"/>
          </w:tcPr>
          <w:p>
            <w:pPr>
              <w:ind w:left="260"/>
              <w:spacing w:after="0"/>
              <w:rPr>
                <w:sz w:val="20"/>
                <w:szCs w:val="20"/>
                <w:color w:val="auto"/>
              </w:rPr>
            </w:pPr>
            <w:r>
              <w:rPr>
                <w:rFonts w:ascii="Arial" w:cs="Arial" w:eastAsia="Arial" w:hAnsi="Arial"/>
                <w:sz w:val="18"/>
                <w:szCs w:val="18"/>
                <w:color w:val="auto"/>
                <w:w w:val="89"/>
              </w:rPr>
              <w:t>To test the fair value of the Warrant and the Options, our audit procedures included, among others, assessing the appropriateness</w:t>
            </w:r>
          </w:p>
        </w:tc>
        <w:tc>
          <w:tcPr>
            <w:tcW w:w="0" w:type="dxa"/>
            <w:vAlign w:val="bottom"/>
          </w:tcPr>
          <w:p>
            <w:pPr>
              <w:spacing w:after="0"/>
              <w:rPr>
                <w:sz w:val="1"/>
                <w:szCs w:val="1"/>
                <w:color w:val="auto"/>
              </w:rPr>
            </w:pPr>
          </w:p>
        </w:tc>
      </w:tr>
      <w:tr>
        <w:trPr>
          <w:trHeight w:val="176"/>
        </w:trPr>
        <w:tc>
          <w:tcPr>
            <w:tcW w:w="16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the Matter in Our</w:t>
            </w: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4"/>
              </w:rPr>
              <w:t>of the use of the Black-Scholes model and accuracy of the underlying calculation, including testing the assumptions used to</w:t>
            </w:r>
          </w:p>
        </w:tc>
        <w:tc>
          <w:tcPr>
            <w:tcW w:w="0" w:type="dxa"/>
            <w:vAlign w:val="bottom"/>
          </w:tcPr>
          <w:p>
            <w:pPr>
              <w:spacing w:after="0"/>
              <w:rPr>
                <w:sz w:val="1"/>
                <w:szCs w:val="1"/>
                <w:color w:val="auto"/>
              </w:rPr>
            </w:pPr>
          </w:p>
        </w:tc>
      </w:tr>
      <w:tr>
        <w:trPr>
          <w:trHeight w:val="175"/>
        </w:trPr>
        <w:tc>
          <w:tcPr>
            <w:tcW w:w="16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Audit</w:t>
            </w: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1"/>
              </w:rPr>
              <w:t>calculate the fair value of the Warrant and the grant date fair value of the Options. We compared the term, stock price, risk free</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7"/>
              </w:rPr>
              <w:t>rate and dividend yield to readily available information as of the valuation dates for each reporting period. For the critical</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8"/>
              </w:rPr>
              <w:t>volatility assumption, we assessed the suitability of the guideline public companies used based on the similarity of their</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2"/>
              </w:rPr>
              <w:t>operations and duration to that of the Company. We compared the equity volatilities of the guideline public companies used in</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6"/>
              </w:rPr>
              <w:t>the estimate to actual stock price performance, we developed an independent range of volatility based on the cumulative</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2"/>
              </w:rPr>
              <w:t>volatilities of the guideline public companies adjusted for the relative size of the Company as compared to the guideline public</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1"/>
              </w:rPr>
              <w:t>companies. We involved our specialists to assist us with evaluating the Black-Scholes model, as well as to perform comparative</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w w:val="94"/>
              </w:rPr>
              <w:t>range calculations using the assumptions previously discussed. We have also evaluated the appropriateness of the related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Arial" w:cs="Arial" w:eastAsia="Arial" w:hAnsi="Arial"/>
                <w:sz w:val="18"/>
                <w:szCs w:val="18"/>
                <w:color w:val="auto"/>
              </w:rPr>
              <w:t>disclosures included in Note 8 and 13 to the consolidated financial statements.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Member of EY Global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TALKSPACE, INC.</w:t>
      </w:r>
    </w:p>
    <w:p>
      <w:pPr>
        <w:jc w:val="center"/>
        <w:spacing w:after="0" w:line="228" w:lineRule="auto"/>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198,256</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line="162" w:lineRule="exact"/>
              <w:rPr>
                <w:sz w:val="20"/>
                <w:szCs w:val="20"/>
                <w:color w:val="auto"/>
              </w:rPr>
            </w:pPr>
            <w:r>
              <w:rPr>
                <w:rFonts w:ascii="Arial" w:cs="Arial" w:eastAsia="Arial" w:hAnsi="Arial"/>
                <w:sz w:val="18"/>
                <w:szCs w:val="18"/>
                <w:color w:val="auto"/>
                <w:w w:val="98"/>
              </w:rPr>
              <w:t>Accounts receivable, net of allowance of $4,918 and $824 as of December 31, 2021 and 2020,</w:t>
            </w:r>
          </w:p>
        </w:tc>
        <w:tc>
          <w:tcPr>
            <w:tcW w:w="9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5,512</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9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9,562</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213,330</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Property and equipment, net</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624</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Deferred issuance cost</w:t>
            </w:r>
          </w:p>
        </w:tc>
        <w:tc>
          <w:tcPr>
            <w:tcW w:w="96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Intangible assets, net</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3,436</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6,134</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long-term assets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assets</w:t>
            </w:r>
          </w:p>
        </w:tc>
        <w:tc>
          <w:tcPr>
            <w:tcW w:w="960" w:type="dxa"/>
            <w:vAlign w:val="bottom"/>
            <w:tcBorders>
              <w:top w:val="single" w:sz="8" w:color="auto"/>
              <w:bottom w:val="single" w:sz="8" w:color="auto"/>
            </w:tcBorders>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223,606</w:t>
            </w:r>
          </w:p>
        </w:tc>
        <w:tc>
          <w:tcPr>
            <w:tcW w:w="28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32,873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6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LIABILITIES, CONVERTIBLE PREFERRED STOCK AND</w:t>
            </w:r>
          </w:p>
        </w:tc>
        <w:tc>
          <w:tcPr>
            <w:tcW w:w="9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STOCKHOLDERS’ EQUITY (DEFICIT)</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7,429</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7,186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12,562</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27,177</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Warrant liabilities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4,070</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31,333</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20,489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9)</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CONVERTIBLE PREFERRED STOCK:</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line="162" w:lineRule="exact"/>
              <w:rPr>
                <w:sz w:val="20"/>
                <w:szCs w:val="20"/>
                <w:color w:val="auto"/>
              </w:rPr>
            </w:pPr>
            <w:r>
              <w:rPr>
                <w:rFonts w:ascii="Arial" w:cs="Arial" w:eastAsia="Arial" w:hAnsi="Arial"/>
                <w:sz w:val="18"/>
                <w:szCs w:val="18"/>
                <w:color w:val="auto"/>
              </w:rPr>
              <w:t>Convertible preferred stock (Series Seed, Seed-1, Seed-2, A, B, C and D)</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340"/>
              <w:spacing w:after="0" w:line="176" w:lineRule="exact"/>
              <w:rPr>
                <w:sz w:val="20"/>
                <w:szCs w:val="20"/>
                <w:color w:val="auto"/>
              </w:rPr>
            </w:pPr>
            <w:r>
              <w:rPr>
                <w:rFonts w:ascii="Arial" w:cs="Arial" w:eastAsia="Arial" w:hAnsi="Arial"/>
                <w:sz w:val="18"/>
                <w:szCs w:val="18"/>
                <w:color w:val="auto"/>
              </w:rPr>
              <w:t>of $0.0001 par value — Authorized: 0 and 95,709,146 shares at</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340"/>
              <w:spacing w:after="0" w:line="176" w:lineRule="exact"/>
              <w:rPr>
                <w:sz w:val="20"/>
                <w:szCs w:val="20"/>
                <w:color w:val="auto"/>
              </w:rPr>
            </w:pPr>
            <w:r>
              <w:rPr>
                <w:rFonts w:ascii="Arial" w:cs="Arial" w:eastAsia="Arial" w:hAnsi="Arial"/>
                <w:sz w:val="18"/>
                <w:szCs w:val="18"/>
                <w:color w:val="auto"/>
              </w:rPr>
              <w:t>December 31, 2021 and 2020, respectively; Issued and outstanding:</w:t>
            </w:r>
          </w:p>
        </w:tc>
        <w:tc>
          <w:tcPr>
            <w:tcW w:w="960" w:type="dxa"/>
            <w:vAlign w:val="bottom"/>
          </w:tcPr>
          <w:p>
            <w:pPr>
              <w:spacing w:after="0"/>
              <w:rPr>
                <w:sz w:val="15"/>
                <w:szCs w:val="15"/>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111,282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40"/>
              <w:spacing w:after="0" w:line="202" w:lineRule="exact"/>
              <w:rPr>
                <w:sz w:val="20"/>
                <w:szCs w:val="20"/>
                <w:color w:val="auto"/>
              </w:rPr>
            </w:pPr>
            <w:r>
              <w:rPr>
                <w:rFonts w:ascii="Arial" w:cs="Arial" w:eastAsia="Arial" w:hAnsi="Arial"/>
                <w:sz w:val="17"/>
                <w:szCs w:val="17"/>
                <w:color w:val="auto"/>
              </w:rPr>
              <w:t xml:space="preserve">0 and 94,582,550 shares at December 31, 2021 and 2020, respectively </w:t>
            </w:r>
            <w:r>
              <w:rPr>
                <w:rFonts w:ascii="Arial" w:cs="Arial" w:eastAsia="Arial" w:hAnsi="Arial"/>
                <w:sz w:val="23"/>
                <w:szCs w:val="23"/>
                <w:color w:val="auto"/>
                <w:vertAlign w:val="superscript"/>
              </w:rPr>
              <w:t>(1)</w:t>
            </w:r>
          </w:p>
        </w:tc>
        <w:tc>
          <w:tcPr>
            <w:tcW w:w="9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STOCKHOLDERS’ EQUITY (DEFICIT):</w:t>
            </w:r>
          </w:p>
        </w:tc>
        <w:tc>
          <w:tcPr>
            <w:tcW w:w="9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line="162" w:lineRule="exact"/>
              <w:rPr>
                <w:sz w:val="20"/>
                <w:szCs w:val="20"/>
                <w:color w:val="auto"/>
              </w:rPr>
            </w:pPr>
            <w:r>
              <w:rPr>
                <w:rFonts w:ascii="Arial" w:cs="Arial" w:eastAsia="Arial" w:hAnsi="Arial"/>
                <w:sz w:val="18"/>
                <w:szCs w:val="18"/>
                <w:color w:val="auto"/>
              </w:rPr>
              <w:t>Common stock of $0.0001 par value — Authorized: 1,000,000,000 and</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340"/>
              <w:spacing w:after="0" w:line="176" w:lineRule="exact"/>
              <w:rPr>
                <w:sz w:val="20"/>
                <w:szCs w:val="20"/>
                <w:color w:val="auto"/>
              </w:rPr>
            </w:pPr>
            <w:r>
              <w:rPr>
                <w:rFonts w:ascii="Arial" w:cs="Arial" w:eastAsia="Arial" w:hAnsi="Arial"/>
                <w:sz w:val="18"/>
                <w:szCs w:val="18"/>
                <w:color w:val="auto"/>
              </w:rPr>
              <w:t>129,397,278 shares at December 31, 2021 and 2020, respectively;</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340"/>
              <w:spacing w:after="0" w:line="176" w:lineRule="exact"/>
              <w:rPr>
                <w:sz w:val="20"/>
                <w:szCs w:val="20"/>
                <w:color w:val="auto"/>
              </w:rPr>
            </w:pPr>
            <w:r>
              <w:rPr>
                <w:rFonts w:ascii="Arial" w:cs="Arial" w:eastAsia="Arial" w:hAnsi="Arial"/>
                <w:sz w:val="18"/>
                <w:szCs w:val="18"/>
                <w:color w:val="auto"/>
              </w:rPr>
              <w:t>Issued and outstanding: 152,862,447 and 13,413,431 shares at</w:t>
            </w:r>
          </w:p>
        </w:tc>
        <w:tc>
          <w:tcPr>
            <w:tcW w:w="9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December 31, 2021 and 2020, respectively </w:t>
            </w:r>
            <w:r>
              <w:rPr>
                <w:rFonts w:ascii="Arial" w:cs="Arial" w:eastAsia="Arial" w:hAnsi="Arial"/>
                <w:sz w:val="24"/>
                <w:szCs w:val="24"/>
                <w:color w:val="auto"/>
                <w:vertAlign w:val="superscript"/>
              </w:rPr>
              <w:t>(1)</w:t>
            </w:r>
          </w:p>
        </w:tc>
        <w:tc>
          <w:tcPr>
            <w:tcW w:w="9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Additional paid-in capital </w:t>
            </w:r>
            <w:r>
              <w:rPr>
                <w:rFonts w:ascii="Arial" w:cs="Arial" w:eastAsia="Arial" w:hAnsi="Arial"/>
                <w:sz w:val="23"/>
                <w:szCs w:val="23"/>
                <w:color w:val="auto"/>
                <w:vertAlign w:val="superscript"/>
              </w:rPr>
              <w:t>(1)</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363,788</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96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87"/>
              </w:rPr>
              <w:t>(171,530 )</w:t>
            </w:r>
          </w:p>
        </w:tc>
        <w:tc>
          <w:tcPr>
            <w:tcW w:w="4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(108,788 )</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 (deficit)</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192,273</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(98,898</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convertible preferred stock and stockholders’ equity (deficit)</w:t>
            </w:r>
          </w:p>
        </w:tc>
        <w:tc>
          <w:tcPr>
            <w:tcW w:w="960" w:type="dxa"/>
            <w:vAlign w:val="bottom"/>
            <w:tcBorders>
              <w:bottom w:val="single" w:sz="8" w:color="auto"/>
            </w:tcBorders>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223,606</w:t>
            </w:r>
          </w:p>
        </w:tc>
        <w:tc>
          <w:tcPr>
            <w:tcW w:w="28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-4119880</wp:posOffset>
            </wp:positionV>
            <wp:extent cx="6032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-4119880</wp:posOffset>
            </wp:positionV>
            <wp:extent cx="5969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-3331210</wp:posOffset>
            </wp:positionV>
            <wp:extent cx="603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-3331210</wp:posOffset>
            </wp:positionV>
            <wp:extent cx="5969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-2413635</wp:posOffset>
            </wp:positionV>
            <wp:extent cx="6032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-2413635</wp:posOffset>
            </wp:positionV>
            <wp:extent cx="5969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-1873885</wp:posOffset>
            </wp:positionV>
            <wp:extent cx="6032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-1873885</wp:posOffset>
            </wp:positionV>
            <wp:extent cx="5969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jc w:val="both"/>
        <w:ind w:left="480" w:hanging="472"/>
        <w:spacing w:after="0" w:line="243" w:lineRule="auto"/>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Prior period results have been adjusted to reflect the exchange of Old Talkspace’s common stock for Talkspace’s common stock at an exchange ratio of approximately 1.134140 in June 2021 as a result of the Business Combination. See Note 3, “Business Combination” in the notes to the consolidated financial statements for further details.</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TALKSPACE, INC.</w:t>
      </w:r>
    </w:p>
    <w:p>
      <w:pPr>
        <w:jc w:val="center"/>
        <w:spacing w:after="0" w:line="228" w:lineRule="auto"/>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40"/>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177"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113,671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76,190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38,178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46,899</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26,353</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66,772</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49,837</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 net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15,919</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9,583</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Clinical operations</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9,365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4,332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4,672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100,641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47,705</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34,770</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10,199</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160,695</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71,819</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49,564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ind w:left="20"/>
              <w:spacing w:after="0" w:line="196" w:lineRule="exact"/>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93,923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21,982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29,428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Financial (income) expense, net</w:t>
            </w: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(31,228 )</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196"/>
        </w:trPr>
        <w:tc>
          <w:tcPr>
            <w:tcW w:w="62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Loss before taxes on income</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62,695</w:t>
            </w: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22,346</w:t>
            </w: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29,078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Taxes on income</w:t>
            </w: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62,742</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22,370</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62,742</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22,370</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Net loss per share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Basic and diluted net loss per share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0.72</w:t>
            </w:r>
          </w:p>
        </w:tc>
        <w:tc>
          <w:tcPr>
            <w:tcW w:w="28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6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3"/>
              </w:rPr>
              <w:t>Weighted average number of common shares used in computing basic and diluted</w:t>
            </w:r>
          </w:p>
        </w:tc>
        <w:tc>
          <w:tcPr>
            <w:tcW w:w="34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86,775,948</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13,359,350</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12,721,426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net loss per share </w:t>
            </w:r>
            <w:r>
              <w:rPr>
                <w:rFonts w:ascii="Arial" w:cs="Arial" w:eastAsia="Arial" w:hAnsi="Arial"/>
                <w:sz w:val="24"/>
                <w:szCs w:val="24"/>
                <w:color w:val="auto"/>
                <w:vertAlign w:val="superscript"/>
              </w:rPr>
              <w:t>(1)</w:t>
            </w:r>
          </w:p>
        </w:tc>
        <w:tc>
          <w:tcPr>
            <w:tcW w:w="34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-2251075</wp:posOffset>
            </wp:positionV>
            <wp:extent cx="6032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-2251075</wp:posOffset>
            </wp:positionV>
            <wp:extent cx="431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-2251075</wp:posOffset>
            </wp:positionV>
            <wp:extent cx="5969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-1462405</wp:posOffset>
            </wp:positionV>
            <wp:extent cx="603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-1462405</wp:posOffset>
            </wp:positionV>
            <wp:extent cx="431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-1462405</wp:posOffset>
            </wp:positionV>
            <wp:extent cx="5969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-1196340</wp:posOffset>
            </wp:positionV>
            <wp:extent cx="6032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-1196340</wp:posOffset>
            </wp:positionV>
            <wp:extent cx="431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-1196340</wp:posOffset>
            </wp:positionV>
            <wp:extent cx="596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-930910</wp:posOffset>
            </wp:positionV>
            <wp:extent cx="603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-930910</wp:posOffset>
            </wp:positionV>
            <wp:extent cx="431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-930910</wp:posOffset>
            </wp:positionV>
            <wp:extent cx="596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-656590</wp:posOffset>
            </wp:positionV>
            <wp:extent cx="6032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-656590</wp:posOffset>
            </wp:positionV>
            <wp:extent cx="431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-656590</wp:posOffset>
            </wp:positionV>
            <wp:extent cx="596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6" w:lineRule="exact"/>
        <w:rPr>
          <w:sz w:val="20"/>
          <w:szCs w:val="20"/>
          <w:color w:val="auto"/>
        </w:rPr>
      </w:pPr>
    </w:p>
    <w:p>
      <w:pPr>
        <w:jc w:val="both"/>
        <w:ind w:left="480" w:hanging="472"/>
        <w:spacing w:after="0" w:line="243" w:lineRule="auto"/>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Prior period results have been adjusted to reflect the exchange of Old Talkspace’s common stock for Talkspace’s common stock at an exchange ratio of approximately 1.134140 in June 2021 as a result of the Business Combination. See Note 3, “Business Combination” in the notes to the consolidated financial statements for further details.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TALKSPACE, INC.</w:t>
      </w:r>
    </w:p>
    <w:p>
      <w:pPr>
        <w:jc w:val="center"/>
        <w:spacing w:after="0" w:line="228" w:lineRule="auto"/>
        <w:rPr>
          <w:sz w:val="20"/>
          <w:szCs w:val="20"/>
          <w:color w:val="auto"/>
        </w:rPr>
      </w:pPr>
      <w:r>
        <w:rPr>
          <w:rFonts w:ascii="Arial" w:cs="Arial" w:eastAsia="Arial" w:hAnsi="Arial"/>
          <w:sz w:val="18"/>
          <w:szCs w:val="18"/>
          <w:b w:val="1"/>
          <w:bCs w:val="1"/>
          <w:color w:val="auto"/>
        </w:rPr>
        <w:t>CONSOLIDATED STATEMENTS OF CHANGES IN STOCKHOLDERS’ EQUITY (DEFICIT)</w:t>
      </w:r>
    </w:p>
    <w:p>
      <w:pPr>
        <w:jc w:val="center"/>
        <w:ind w:right="40"/>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460" w:type="dxa"/>
            <w:vAlign w:val="bottom"/>
          </w:tcPr>
          <w:p>
            <w:pPr>
              <w:spacing w:after="0"/>
              <w:rPr>
                <w:sz w:val="3"/>
                <w:szCs w:val="3"/>
                <w:color w:val="auto"/>
              </w:rPr>
            </w:pPr>
          </w:p>
        </w:tc>
        <w:tc>
          <w:tcPr>
            <w:tcW w:w="2240" w:type="dxa"/>
            <w:vAlign w:val="bottom"/>
            <w:gridSpan w:val="5"/>
            <w:vMerge w:val="restart"/>
          </w:tcPr>
          <w:p>
            <w:pPr>
              <w:jc w:val="right"/>
              <w:ind w:right="360"/>
              <w:spacing w:after="0"/>
              <w:rPr>
                <w:sz w:val="20"/>
                <w:szCs w:val="20"/>
                <w:color w:val="auto"/>
              </w:rPr>
            </w:pPr>
            <w:r>
              <w:rPr>
                <w:rFonts w:ascii="Arial" w:cs="Arial" w:eastAsia="Arial" w:hAnsi="Arial"/>
                <w:sz w:val="13"/>
                <w:szCs w:val="13"/>
                <w:b w:val="1"/>
                <w:bCs w:val="1"/>
                <w:color w:val="auto"/>
                <w:w w:val="98"/>
              </w:rPr>
              <w:t xml:space="preserve">Convertible Preferred Stock </w:t>
            </w:r>
            <w:r>
              <w:rPr>
                <w:rFonts w:ascii="Arial" w:cs="Arial" w:eastAsia="Arial" w:hAnsi="Arial"/>
                <w:sz w:val="16"/>
                <w:szCs w:val="16"/>
                <w:b w:val="1"/>
                <w:bCs w:val="1"/>
                <w:color w:val="auto"/>
                <w:w w:val="98"/>
                <w:vertAlign w:val="superscript"/>
              </w:rPr>
              <w:t>(1)</w:t>
            </w:r>
          </w:p>
        </w:tc>
        <w:tc>
          <w:tcPr>
            <w:tcW w:w="20" w:type="dxa"/>
            <w:vAlign w:val="bottom"/>
          </w:tcPr>
          <w:p>
            <w:pPr>
              <w:spacing w:after="0"/>
              <w:rPr>
                <w:sz w:val="3"/>
                <w:szCs w:val="3"/>
                <w:color w:val="auto"/>
              </w:rPr>
            </w:pPr>
          </w:p>
        </w:tc>
        <w:tc>
          <w:tcPr>
            <w:tcW w:w="1940" w:type="dxa"/>
            <w:vAlign w:val="bottom"/>
            <w:gridSpan w:val="3"/>
            <w:vMerge w:val="restart"/>
          </w:tcPr>
          <w:p>
            <w:pPr>
              <w:jc w:val="right"/>
              <w:ind w:right="271"/>
              <w:spacing w:after="0"/>
              <w:rPr>
                <w:sz w:val="20"/>
                <w:szCs w:val="20"/>
                <w:color w:val="auto"/>
              </w:rPr>
            </w:pPr>
            <w:r>
              <w:rPr>
                <w:rFonts w:ascii="Arial" w:cs="Arial" w:eastAsia="Arial" w:hAnsi="Arial"/>
                <w:sz w:val="13"/>
                <w:szCs w:val="13"/>
                <w:b w:val="1"/>
                <w:bCs w:val="1"/>
                <w:color w:val="auto"/>
              </w:rPr>
              <w:t xml:space="preserve">Common Stock </w:t>
            </w:r>
            <w:r>
              <w:rPr>
                <w:rFonts w:ascii="Arial" w:cs="Arial" w:eastAsia="Arial" w:hAnsi="Arial"/>
                <w:sz w:val="16"/>
                <w:szCs w:val="16"/>
                <w:b w:val="1"/>
                <w:bCs w:val="1"/>
                <w:color w:val="auto"/>
                <w:vertAlign w:val="superscript"/>
              </w:rPr>
              <w:t>(1)</w:t>
            </w: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346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460" w:type="dxa"/>
            <w:vAlign w:val="bottom"/>
          </w:tcPr>
          <w:p>
            <w:pPr>
              <w:spacing w:after="0"/>
              <w:rPr>
                <w:sz w:val="8"/>
                <w:szCs w:val="8"/>
                <w:color w:val="auto"/>
              </w:rPr>
            </w:pPr>
          </w:p>
        </w:tc>
        <w:tc>
          <w:tcPr>
            <w:tcW w:w="1140" w:type="dxa"/>
            <w:vAlign w:val="bottom"/>
            <w:tcBorders>
              <w:top w:val="single" w:sz="8" w:color="auto"/>
            </w:tcBorders>
            <w:gridSpan w:val="2"/>
          </w:tcPr>
          <w:p>
            <w:pPr>
              <w:jc w:val="center"/>
              <w:ind w:right="200"/>
              <w:spacing w:after="0" w:line="102" w:lineRule="exact"/>
              <w:rPr>
                <w:sz w:val="20"/>
                <w:szCs w:val="20"/>
                <w:color w:val="auto"/>
              </w:rPr>
            </w:pPr>
            <w:r>
              <w:rPr>
                <w:rFonts w:ascii="Arial" w:cs="Arial" w:eastAsia="Arial" w:hAnsi="Arial"/>
                <w:sz w:val="10"/>
                <w:szCs w:val="10"/>
                <w:b w:val="1"/>
                <w:bCs w:val="1"/>
                <w:color w:val="auto"/>
              </w:rPr>
              <w:t>Number of</w:t>
            </w: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10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Number of</w:t>
            </w: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right"/>
              <w:ind w:right="188"/>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1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0"/>
                <w:szCs w:val="10"/>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Amount</w:t>
            </w:r>
          </w:p>
        </w:tc>
        <w:tc>
          <w:tcPr>
            <w:tcW w:w="20" w:type="dxa"/>
            <w:vAlign w:val="bottom"/>
            <w:shd w:val="clear" w:color="auto" w:fill="000000"/>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Outstanding</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Outstanding</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line="162" w:lineRule="exact"/>
              <w:rPr>
                <w:sz w:val="20"/>
                <w:szCs w:val="20"/>
                <w:color w:val="auto"/>
              </w:rPr>
            </w:pPr>
            <w:r>
              <w:rPr>
                <w:rFonts w:ascii="Arial" w:cs="Arial" w:eastAsia="Arial" w:hAnsi="Arial"/>
                <w:sz w:val="13"/>
                <w:szCs w:val="13"/>
                <w:b w:val="1"/>
                <w:bCs w:val="1"/>
                <w:color w:val="auto"/>
                <w:w w:val="86"/>
              </w:rPr>
              <w:t xml:space="preserve">capital </w:t>
            </w:r>
            <w:r>
              <w:rPr>
                <w:rFonts w:ascii="Arial" w:cs="Arial" w:eastAsia="Arial" w:hAnsi="Arial"/>
                <w:sz w:val="16"/>
                <w:szCs w:val="16"/>
                <w:b w:val="1"/>
                <w:bCs w:val="1"/>
                <w:color w:val="auto"/>
                <w:w w:val="86"/>
                <w:vertAlign w:val="superscript"/>
              </w:rPr>
              <w:t>(1)</w:t>
            </w:r>
          </w:p>
        </w:tc>
        <w:tc>
          <w:tcPr>
            <w:tcW w:w="100" w:type="dxa"/>
            <w:vAlign w:val="bottom"/>
          </w:tcPr>
          <w:p>
            <w:pPr>
              <w:spacing w:after="0"/>
              <w:rPr>
                <w:sz w:val="14"/>
                <w:szCs w:val="14"/>
                <w:color w:val="auto"/>
              </w:rPr>
            </w:pPr>
          </w:p>
        </w:tc>
        <w:tc>
          <w:tcPr>
            <w:tcW w:w="1000" w:type="dxa"/>
            <w:vAlign w:val="bottom"/>
            <w:gridSpan w:val="2"/>
          </w:tcPr>
          <w:p>
            <w:pPr>
              <w:jc w:val="right"/>
              <w:ind w:right="388"/>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January 1, 2019</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73,424,071</w:t>
            </w:r>
          </w:p>
        </w:tc>
        <w:tc>
          <w:tcPr>
            <w:tcW w:w="1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60,078</w:t>
            </w:r>
          </w:p>
        </w:tc>
        <w:tc>
          <w:tcPr>
            <w:tcW w:w="12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60" w:type="dxa"/>
            <w:vAlign w:val="bottom"/>
            <w:tcBorders>
              <w:top w:val="single" w:sz="8" w:color="auto"/>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11,713,491</w:t>
            </w:r>
          </w:p>
        </w:tc>
        <w:tc>
          <w:tcPr>
            <w:tcW w:w="1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ind w:right="59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3,117</w:t>
            </w: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(57,332</w:t>
            </w:r>
          </w:p>
        </w:tc>
        <w:tc>
          <w:tcPr>
            <w:tcW w:w="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(54,214</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60" w:type="dxa"/>
            <w:vAlign w:val="bottom"/>
          </w:tcPr>
          <w:p>
            <w:pPr>
              <w:ind w:left="20"/>
              <w:spacing w:after="0" w:line="143" w:lineRule="exact"/>
              <w:rPr>
                <w:sz w:val="20"/>
                <w:szCs w:val="20"/>
                <w:color w:val="auto"/>
              </w:rPr>
            </w:pPr>
            <w:r>
              <w:rPr>
                <w:rFonts w:ascii="Arial" w:cs="Arial" w:eastAsia="Arial" w:hAnsi="Arial"/>
                <w:sz w:val="14"/>
                <w:szCs w:val="14"/>
                <w:color w:val="auto"/>
              </w:rPr>
              <w:t>Issuance of series D convertible preferred stock, net of</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46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960" w:type="dxa"/>
            <w:vAlign w:val="bottom"/>
          </w:tcPr>
          <w:p>
            <w:pPr>
              <w:jc w:val="right"/>
              <w:spacing w:after="0"/>
              <w:rPr>
                <w:sz w:val="20"/>
                <w:szCs w:val="20"/>
                <w:color w:val="auto"/>
              </w:rPr>
            </w:pPr>
            <w:r>
              <w:rPr>
                <w:rFonts w:ascii="Arial" w:cs="Arial" w:eastAsia="Arial" w:hAnsi="Arial"/>
                <w:sz w:val="14"/>
                <w:szCs w:val="14"/>
                <w:color w:val="auto"/>
              </w:rPr>
              <w:t>21,158,479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51,204</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1,510,181</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3,404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(29,086 )</w:t>
            </w: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(29,086 )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tcBorders>
              <w:lef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Pr>
          <w:p>
            <w:pPr>
              <w:ind w:left="20"/>
              <w:spacing w:after="0"/>
              <w:rPr>
                <w:sz w:val="20"/>
                <w:szCs w:val="20"/>
                <w:color w:val="auto"/>
              </w:rPr>
            </w:pPr>
            <w:r>
              <w:rPr>
                <w:rFonts w:ascii="Arial" w:cs="Arial" w:eastAsia="Arial" w:hAnsi="Arial"/>
                <w:sz w:val="14"/>
                <w:szCs w:val="14"/>
                <w:color w:val="auto"/>
              </w:rPr>
              <w:t>Balance as of December 31, 2019</w:t>
            </w:r>
          </w:p>
        </w:tc>
        <w:tc>
          <w:tcPr>
            <w:tcW w:w="960" w:type="dxa"/>
            <w:vAlign w:val="bottom"/>
          </w:tcPr>
          <w:p>
            <w:pPr>
              <w:jc w:val="right"/>
              <w:spacing w:after="0"/>
              <w:rPr>
                <w:sz w:val="20"/>
                <w:szCs w:val="20"/>
                <w:color w:val="auto"/>
              </w:rPr>
            </w:pPr>
            <w:r>
              <w:rPr>
                <w:rFonts w:ascii="Arial" w:cs="Arial" w:eastAsia="Arial" w:hAnsi="Arial"/>
                <w:sz w:val="14"/>
                <w:szCs w:val="14"/>
                <w:color w:val="auto"/>
              </w:rPr>
              <w:t>94,582,550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111,282</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13,223,672</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(86,418 )</w:t>
            </w: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(79,599 )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189,759</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2,977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(22,370 )</w:t>
            </w: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(22,370 )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tcBorders>
              <w:lef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Pr>
          <w:p>
            <w:pPr>
              <w:ind w:left="20"/>
              <w:spacing w:after="0"/>
              <w:rPr>
                <w:sz w:val="20"/>
                <w:szCs w:val="20"/>
                <w:color w:val="auto"/>
              </w:rPr>
            </w:pPr>
            <w:r>
              <w:rPr>
                <w:rFonts w:ascii="Arial" w:cs="Arial" w:eastAsia="Arial" w:hAnsi="Arial"/>
                <w:sz w:val="14"/>
                <w:szCs w:val="14"/>
                <w:color w:val="auto"/>
              </w:rPr>
              <w:t>Balance as of December 31, 2020</w:t>
            </w:r>
          </w:p>
        </w:tc>
        <w:tc>
          <w:tcPr>
            <w:tcW w:w="960" w:type="dxa"/>
            <w:vAlign w:val="bottom"/>
          </w:tcPr>
          <w:p>
            <w:pPr>
              <w:jc w:val="right"/>
              <w:spacing w:after="0"/>
              <w:rPr>
                <w:sz w:val="20"/>
                <w:szCs w:val="20"/>
                <w:color w:val="auto"/>
              </w:rPr>
            </w:pPr>
            <w:r>
              <w:rPr>
                <w:rFonts w:ascii="Arial" w:cs="Arial" w:eastAsia="Arial" w:hAnsi="Arial"/>
                <w:sz w:val="14"/>
                <w:szCs w:val="14"/>
                <w:color w:val="auto"/>
              </w:rPr>
              <w:t>94,582,550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111,282</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13,413,431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(108,788 )</w:t>
            </w: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(98,898 )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3,627,127</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2,098</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Arial" w:cs="Arial" w:eastAsia="Arial" w:hAnsi="Arial"/>
                <w:sz w:val="14"/>
                <w:szCs w:val="14"/>
                <w:color w:val="auto"/>
              </w:rPr>
              <w:t>Restricted stock units vested, net of tax</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282,415</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(491 )</w:t>
            </w:r>
          </w:p>
        </w:tc>
        <w:tc>
          <w:tcPr>
            <w:tcW w:w="100" w:type="dxa"/>
            <w:vAlign w:val="bottom"/>
          </w:tcPr>
          <w:p>
            <w:pPr>
              <w:spacing w:after="0"/>
              <w:rPr>
                <w:sz w:val="15"/>
                <w:szCs w:val="15"/>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(491 )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27,405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27,405</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Arial" w:cs="Arial" w:eastAsia="Arial" w:hAnsi="Arial"/>
                <w:sz w:val="14"/>
                <w:szCs w:val="14"/>
                <w:color w:val="auto"/>
              </w:rPr>
              <w:t>Issuance of warrants</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 issued related to exercise of warrants</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98,871</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Arial" w:cs="Arial" w:eastAsia="Arial" w:hAnsi="Arial"/>
                <w:sz w:val="14"/>
                <w:szCs w:val="14"/>
                <w:color w:val="auto"/>
              </w:rPr>
              <w:t>Acquisition of warrants</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27,945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27,945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Preferred stock conversion</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(94,582,550 )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(111,282 )</w:t>
            </w:r>
          </w:p>
        </w:tc>
        <w:tc>
          <w:tcPr>
            <w:tcW w:w="20" w:type="dxa"/>
            <w:vAlign w:val="bottom"/>
            <w:shd w:val="clear" w:color="auto" w:fill="000000"/>
          </w:tcPr>
          <w:p>
            <w:pPr>
              <w:spacing w:after="0"/>
              <w:rPr>
                <w:sz w:val="15"/>
                <w:szCs w:val="15"/>
                <w:color w:val="auto"/>
              </w:rPr>
            </w:pPr>
          </w:p>
        </w:tc>
        <w:tc>
          <w:tcPr>
            <w:tcW w:w="10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94,582,550</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111,272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111,282</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46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in connection with</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Business Combination and PIPE offering, net of</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46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40,858,053</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184,936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184,940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(62,742 )</w:t>
            </w: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(62,742 )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tcBorders>
              <w:lef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152,862,447</w:t>
            </w:r>
          </w:p>
        </w:tc>
        <w:tc>
          <w:tcPr>
            <w:tcW w:w="120" w:type="dxa"/>
            <w:vAlign w:val="bottom"/>
          </w:tcPr>
          <w:p>
            <w:pPr>
              <w:spacing w:after="0"/>
              <w:rPr>
                <w:sz w:val="14"/>
                <w:szCs w:val="14"/>
                <w:color w:val="auto"/>
              </w:rPr>
            </w:pPr>
          </w:p>
        </w:tc>
        <w:tc>
          <w:tcPr>
            <w:tcW w:w="760" w:type="dxa"/>
            <w:vAlign w:val="bottom"/>
          </w:tcPr>
          <w:p>
            <w:pPr>
              <w:jc w:val="right"/>
              <w:ind w:right="591"/>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363,788</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(171,530 )</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192,273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-1908175</wp:posOffset>
            </wp:positionV>
            <wp:extent cx="431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-1908175</wp:posOffset>
            </wp:positionV>
            <wp:extent cx="431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-1908175</wp:posOffset>
            </wp:positionV>
            <wp:extent cx="254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-1908175</wp:posOffset>
            </wp:positionV>
            <wp:extent cx="2540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-1908175</wp:posOffset>
            </wp:positionV>
            <wp:extent cx="3429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-1908175</wp:posOffset>
            </wp:positionV>
            <wp:extent cx="3429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-1908175</wp:posOffset>
            </wp:positionV>
            <wp:extent cx="342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-1453515</wp:posOffset>
            </wp:positionV>
            <wp:extent cx="431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-1453515</wp:posOffset>
            </wp:positionV>
            <wp:extent cx="4318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-1453515</wp:posOffset>
            </wp:positionV>
            <wp:extent cx="254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-1453515</wp:posOffset>
            </wp:positionV>
            <wp:extent cx="254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-1453515</wp:posOffset>
            </wp:positionV>
            <wp:extent cx="3429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-1453515</wp:posOffset>
            </wp:positionV>
            <wp:extent cx="342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-1453515</wp:posOffset>
            </wp:positionV>
            <wp:extent cx="3429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-142240</wp:posOffset>
            </wp:positionV>
            <wp:extent cx="431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-142240</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-142240</wp:posOffset>
            </wp:positionV>
            <wp:extent cx="254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-142240</wp:posOffset>
            </wp:positionV>
            <wp:extent cx="254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-142240</wp:posOffset>
            </wp:positionV>
            <wp:extent cx="3429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-142240</wp:posOffset>
            </wp:positionV>
            <wp:extent cx="3429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 Represents an amount lower than $1</w:t>
      </w:r>
    </w:p>
    <w:p>
      <w:pPr>
        <w:spacing w:after="0" w:line="100" w:lineRule="exact"/>
        <w:rPr>
          <w:sz w:val="20"/>
          <w:szCs w:val="20"/>
          <w:color w:val="auto"/>
        </w:rPr>
      </w:pPr>
    </w:p>
    <w:p>
      <w:pPr>
        <w:ind w:left="480" w:right="580" w:hanging="472"/>
        <w:spacing w:after="0" w:line="243"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period results have been adjusted to reflect the exchange of Old Talkspace’s common stock for Talkspace’s common stock at an exchange ratio of approximately 1.134140 in June 2021 as a result of the Business Combination. See Note 3, “Business Combination” in the notes to the consolidated financial statements for further details.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TALKSPACE, INC.</w:t>
      </w:r>
    </w:p>
    <w:p>
      <w:pPr>
        <w:jc w:val="center"/>
        <w:spacing w:after="0" w:line="228"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7"/>
          <w:szCs w:val="17"/>
          <w:b w:val="1"/>
          <w:bCs w:val="1"/>
          <w:color w:val="auto"/>
        </w:rPr>
        <w:t>U.S. dollars in thousands</w:t>
      </w:r>
    </w:p>
    <w:p>
      <w:pPr>
        <w:spacing w:after="0" w:line="191"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76"/>
        </w:trPr>
        <w:tc>
          <w:tcPr>
            <w:tcW w:w="20" w:type="dxa"/>
            <w:vAlign w:val="bottom"/>
            <w:shd w:val="clear" w:color="auto" w:fill="CFF0FC"/>
          </w:tcPr>
          <w:p>
            <w:pPr>
              <w:spacing w:after="0"/>
              <w:rPr>
                <w:sz w:val="15"/>
                <w:szCs w:val="15"/>
                <w:color w:val="auto"/>
              </w:rPr>
            </w:pPr>
          </w:p>
        </w:tc>
        <w:tc>
          <w:tcPr>
            <w:tcW w:w="6420" w:type="dxa"/>
            <w:vAlign w:val="bottom"/>
            <w:gridSpan w:val="4"/>
            <w:shd w:val="clear" w:color="auto" w:fill="CFF0FC"/>
          </w:tcPr>
          <w:p>
            <w:pPr>
              <w:spacing w:after="0" w:line="169"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266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Net loss</w:t>
            </w:r>
          </w:p>
        </w:tc>
        <w:tc>
          <w:tcPr>
            <w:tcW w:w="376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CFF0FC"/>
            </w:tcBorders>
            <w:gridSpan w:val="2"/>
          </w:tcPr>
          <w:p>
            <w:pPr>
              <w:jc w:val="right"/>
              <w:ind w:right="101"/>
              <w:spacing w:after="0" w:line="202" w:lineRule="exact"/>
              <w:rPr>
                <w:sz w:val="20"/>
                <w:szCs w:val="20"/>
                <w:color w:val="auto"/>
              </w:rPr>
            </w:pPr>
            <w:r>
              <w:rPr>
                <w:rFonts w:ascii="Arial" w:cs="Arial" w:eastAsia="Arial" w:hAnsi="Arial"/>
                <w:sz w:val="18"/>
                <w:szCs w:val="18"/>
                <w:color w:val="auto"/>
              </w:rPr>
              <w:t>(62,742 )</w:t>
            </w:r>
          </w:p>
        </w:tc>
        <w:tc>
          <w:tcPr>
            <w:tcW w:w="340" w:type="dxa"/>
            <w:vAlign w:val="bottom"/>
            <w:tcBorders>
              <w:top w:val="single" w:sz="8" w:color="CFF0FC"/>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CFF0FC"/>
            </w:tcBorders>
            <w:gridSpan w:val="2"/>
          </w:tcPr>
          <w:p>
            <w:pPr>
              <w:jc w:val="right"/>
              <w:ind w:right="90"/>
              <w:spacing w:after="0" w:line="202" w:lineRule="exact"/>
              <w:rPr>
                <w:sz w:val="20"/>
                <w:szCs w:val="20"/>
                <w:color w:val="auto"/>
              </w:rPr>
            </w:pPr>
            <w:r>
              <w:rPr>
                <w:rFonts w:ascii="Arial" w:cs="Arial" w:eastAsia="Arial" w:hAnsi="Arial"/>
                <w:sz w:val="18"/>
                <w:szCs w:val="18"/>
                <w:color w:val="auto"/>
              </w:rPr>
              <w:t>(22,370 )</w:t>
            </w:r>
          </w:p>
        </w:tc>
        <w:tc>
          <w:tcPr>
            <w:tcW w:w="320" w:type="dxa"/>
            <w:vAlign w:val="bottom"/>
            <w:tcBorders>
              <w:top w:val="single" w:sz="8" w:color="CFF0FC"/>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tcBorders>
            <w:gridSpan w:val="2"/>
          </w:tcPr>
          <w:p>
            <w:pPr>
              <w:jc w:val="right"/>
              <w:spacing w:after="0" w:line="202" w:lineRule="exact"/>
              <w:rPr>
                <w:sz w:val="20"/>
                <w:szCs w:val="20"/>
                <w:color w:val="auto"/>
              </w:rPr>
            </w:pPr>
            <w:r>
              <w:rPr>
                <w:rFonts w:ascii="Arial" w:cs="Arial" w:eastAsia="Arial" w:hAnsi="Arial"/>
                <w:sz w:val="18"/>
                <w:szCs w:val="18"/>
                <w:color w:val="auto"/>
              </w:rPr>
              <w:t>(29,086 )</w:t>
            </w:r>
          </w:p>
        </w:tc>
      </w:tr>
      <w:tr>
        <w:trPr>
          <w:trHeight w:val="203"/>
        </w:trPr>
        <w:tc>
          <w:tcPr>
            <w:tcW w:w="6440" w:type="dxa"/>
            <w:vAlign w:val="bottom"/>
            <w:gridSpan w:val="5"/>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1,973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642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Amortization of debt issuance costs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4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Warrant issuance cost and change in fair value</w:t>
            </w:r>
          </w:p>
        </w:tc>
        <w:tc>
          <w:tcPr>
            <w:tcW w:w="320" w:type="dxa"/>
            <w:vAlign w:val="bottom"/>
          </w:tcPr>
          <w:p>
            <w:pPr>
              <w:spacing w:after="0"/>
              <w:rPr>
                <w:sz w:val="17"/>
                <w:szCs w:val="17"/>
                <w:color w:val="auto"/>
              </w:rPr>
            </w:pPr>
          </w:p>
        </w:tc>
        <w:tc>
          <w:tcPr>
            <w:tcW w:w="13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(31,784 )</w:t>
            </w:r>
          </w:p>
        </w:tc>
        <w:tc>
          <w:tcPr>
            <w:tcW w:w="340" w:type="dxa"/>
            <w:vAlign w:val="bottom"/>
          </w:tcPr>
          <w:p>
            <w:pPr>
              <w:spacing w:after="0"/>
              <w:rPr>
                <w:sz w:val="17"/>
                <w:szCs w:val="17"/>
                <w:color w:val="auto"/>
              </w:rPr>
            </w:pPr>
          </w:p>
        </w:tc>
        <w:tc>
          <w:tcPr>
            <w:tcW w:w="13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FF0FC"/>
          </w:tcPr>
          <w:p>
            <w:pPr>
              <w:spacing w:after="0"/>
              <w:rPr>
                <w:sz w:val="17"/>
                <w:szCs w:val="17"/>
                <w:color w:val="auto"/>
              </w:rPr>
            </w:pPr>
          </w:p>
        </w:tc>
        <w:tc>
          <w:tcPr>
            <w:tcW w:w="642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27,405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Decrease (increase) in accounts receivable</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(5,017 )</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(840 )</w:t>
            </w:r>
          </w:p>
        </w:tc>
      </w:tr>
      <w:tr>
        <w:trPr>
          <w:trHeight w:val="203"/>
        </w:trPr>
        <w:tc>
          <w:tcPr>
            <w:tcW w:w="20" w:type="dxa"/>
            <w:vAlign w:val="bottom"/>
            <w:shd w:val="clear" w:color="auto" w:fill="CFF0FC"/>
          </w:tcPr>
          <w:p>
            <w:pPr>
              <w:spacing w:after="0"/>
              <w:rPr>
                <w:sz w:val="17"/>
                <w:szCs w:val="17"/>
                <w:color w:val="auto"/>
              </w:rPr>
            </w:pPr>
          </w:p>
        </w:tc>
        <w:tc>
          <w:tcPr>
            <w:tcW w:w="642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Increase in other current assets</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(8,053 )</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(695 )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(216 )</w:t>
            </w:r>
          </w:p>
        </w:tc>
      </w:tr>
      <w:tr>
        <w:trPr>
          <w:trHeight w:val="203"/>
        </w:trPr>
        <w:tc>
          <w:tcPr>
            <w:tcW w:w="20" w:type="dxa"/>
            <w:vAlign w:val="bottom"/>
          </w:tcPr>
          <w:p>
            <w:pPr>
              <w:spacing w:after="0"/>
              <w:rPr>
                <w:sz w:val="17"/>
                <w:szCs w:val="17"/>
                <w:color w:val="auto"/>
              </w:rPr>
            </w:pPr>
          </w:p>
        </w:tc>
        <w:tc>
          <w:tcPr>
            <w:tcW w:w="64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Increase in accounts payable</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2,561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3,277</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642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Increase in deferred revenues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Increase in accrued expenses and other current liabilities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4,396</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4,962</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1,017</w:t>
            </w:r>
          </w:p>
        </w:tc>
        <w:tc>
          <w:tcPr>
            <w:tcW w:w="100" w:type="dxa"/>
            <w:vAlign w:val="bottom"/>
          </w:tcPr>
          <w:p>
            <w:pPr>
              <w:spacing w:after="0"/>
              <w:rPr>
                <w:sz w:val="17"/>
                <w:szCs w:val="17"/>
                <w:color w:val="auto"/>
              </w:rPr>
            </w:pPr>
          </w:p>
        </w:tc>
      </w:tr>
      <w:tr>
        <w:trPr>
          <w:trHeight w:val="196"/>
        </w:trPr>
        <w:tc>
          <w:tcPr>
            <w:tcW w:w="6440" w:type="dxa"/>
            <w:vAlign w:val="bottom"/>
            <w:tcBorders>
              <w:bottom w:val="single" w:sz="8" w:color="CFF0FC"/>
            </w:tcBorders>
            <w:gridSpan w:val="5"/>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(65,711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(15,175</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(21,192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378"/>
        </w:trPr>
        <w:tc>
          <w:tcPr>
            <w:tcW w:w="20" w:type="dxa"/>
            <w:vAlign w:val="bottom"/>
          </w:tcPr>
          <w:p>
            <w:pPr>
              <w:spacing w:after="0"/>
              <w:rPr>
                <w:sz w:val="24"/>
                <w:szCs w:val="24"/>
                <w:color w:val="auto"/>
              </w:rPr>
            </w:pPr>
          </w:p>
        </w:tc>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Cash flows from investing activities:</w:t>
            </w: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0" w:type="dxa"/>
            <w:vAlign w:val="bottom"/>
            <w:shd w:val="clear" w:color="auto" w:fill="CFF0FC"/>
          </w:tcPr>
          <w:p>
            <w:pPr>
              <w:spacing w:after="0"/>
              <w:rPr>
                <w:sz w:val="17"/>
                <w:szCs w:val="17"/>
                <w:color w:val="auto"/>
              </w:rPr>
            </w:pPr>
          </w:p>
        </w:tc>
        <w:tc>
          <w:tcPr>
            <w:tcW w:w="642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Purchase of property and equipment</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(663 )</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(126 )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(138 )</w:t>
            </w:r>
          </w:p>
        </w:tc>
      </w:tr>
      <w:tr>
        <w:trPr>
          <w:trHeight w:val="203"/>
        </w:trPr>
        <w:tc>
          <w:tcPr>
            <w:tcW w:w="20" w:type="dxa"/>
            <w:vAlign w:val="bottom"/>
          </w:tcPr>
          <w:p>
            <w:pPr>
              <w:spacing w:after="0"/>
              <w:rPr>
                <w:sz w:val="17"/>
                <w:szCs w:val="17"/>
                <w:color w:val="auto"/>
              </w:rPr>
            </w:pPr>
          </w:p>
        </w:tc>
        <w:tc>
          <w:tcPr>
            <w:tcW w:w="64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Acquisition of business</w:t>
            </w:r>
          </w:p>
        </w:tc>
        <w:tc>
          <w:tcPr>
            <w:tcW w:w="320" w:type="dxa"/>
            <w:vAlign w:val="bottom"/>
          </w:tcPr>
          <w:p>
            <w:pPr>
              <w:spacing w:after="0"/>
              <w:rPr>
                <w:sz w:val="17"/>
                <w:szCs w:val="17"/>
                <w:color w:val="auto"/>
              </w:rPr>
            </w:pPr>
          </w:p>
        </w:tc>
        <w:tc>
          <w:tcPr>
            <w:tcW w:w="134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(10,685 )</w:t>
            </w:r>
          </w:p>
        </w:tc>
        <w:tc>
          <w:tcPr>
            <w:tcW w:w="32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FF0FC"/>
          </w:tcPr>
          <w:p>
            <w:pPr>
              <w:spacing w:after="0"/>
              <w:rPr>
                <w:sz w:val="17"/>
                <w:szCs w:val="17"/>
                <w:color w:val="auto"/>
              </w:rPr>
            </w:pPr>
          </w:p>
        </w:tc>
        <w:tc>
          <w:tcPr>
            <w:tcW w:w="642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Purchase of an intangible asset</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(939 )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4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Proceeds from restricted long-term bank deposit</w:t>
            </w:r>
          </w:p>
        </w:tc>
        <w:tc>
          <w:tcPr>
            <w:tcW w:w="320" w:type="dxa"/>
            <w:vAlign w:val="bottom"/>
          </w:tcPr>
          <w:p>
            <w:pPr>
              <w:spacing w:after="0"/>
              <w:rPr>
                <w:sz w:val="17"/>
                <w:szCs w:val="17"/>
                <w:color w:val="auto"/>
              </w:rPr>
            </w:pPr>
          </w:p>
        </w:tc>
        <w:tc>
          <w:tcPr>
            <w:tcW w:w="134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440" w:type="dxa"/>
            <w:vAlign w:val="bottom"/>
            <w:tcBorders>
              <w:bottom w:val="single" w:sz="8" w:color="CFF0FC"/>
            </w:tcBorders>
            <w:gridSpan w:val="5"/>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(11,303</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372"/>
        </w:trPr>
        <w:tc>
          <w:tcPr>
            <w:tcW w:w="2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642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Proceeds from reverse capitalization, net of transaction costs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249,334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4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Proceeds from issuance of convertible preferred stock, net</w:t>
            </w:r>
          </w:p>
        </w:tc>
        <w:tc>
          <w:tcPr>
            <w:tcW w:w="320" w:type="dxa"/>
            <w:vAlign w:val="bottom"/>
          </w:tcPr>
          <w:p>
            <w:pPr>
              <w:spacing w:after="0"/>
              <w:rPr>
                <w:sz w:val="17"/>
                <w:szCs w:val="17"/>
                <w:color w:val="auto"/>
              </w:rPr>
            </w:pPr>
          </w:p>
        </w:tc>
        <w:tc>
          <w:tcPr>
            <w:tcW w:w="134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3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51,204</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642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Proceeds from borrowings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4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Repayment of borrowings</w:t>
            </w:r>
          </w:p>
        </w:tc>
        <w:tc>
          <w:tcPr>
            <w:tcW w:w="320" w:type="dxa"/>
            <w:vAlign w:val="bottom"/>
          </w:tcPr>
          <w:p>
            <w:pPr>
              <w:spacing w:after="0"/>
              <w:rPr>
                <w:sz w:val="17"/>
                <w:szCs w:val="17"/>
                <w:color w:val="auto"/>
              </w:rPr>
            </w:pPr>
          </w:p>
        </w:tc>
        <w:tc>
          <w:tcPr>
            <w:tcW w:w="13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(6,000 )</w:t>
            </w:r>
          </w:p>
        </w:tc>
        <w:tc>
          <w:tcPr>
            <w:tcW w:w="340" w:type="dxa"/>
            <w:vAlign w:val="bottom"/>
          </w:tcPr>
          <w:p>
            <w:pPr>
              <w:spacing w:after="0"/>
              <w:rPr>
                <w:sz w:val="17"/>
                <w:szCs w:val="17"/>
                <w:color w:val="auto"/>
              </w:rPr>
            </w:pPr>
          </w:p>
        </w:tc>
        <w:tc>
          <w:tcPr>
            <w:tcW w:w="13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FF0FC"/>
          </w:tcPr>
          <w:p>
            <w:pPr>
              <w:spacing w:after="0"/>
              <w:rPr>
                <w:sz w:val="17"/>
                <w:szCs w:val="17"/>
                <w:color w:val="auto"/>
              </w:rPr>
            </w:pPr>
          </w:p>
        </w:tc>
        <w:tc>
          <w:tcPr>
            <w:tcW w:w="642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(50 )</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4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2,098</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w:t>
            </w:r>
          </w:p>
        </w:tc>
        <w:tc>
          <w:tcPr>
            <w:tcW w:w="100" w:type="dxa"/>
            <w:vAlign w:val="bottom"/>
          </w:tcPr>
          <w:p>
            <w:pPr>
              <w:spacing w:after="0"/>
              <w:rPr>
                <w:sz w:val="17"/>
                <w:szCs w:val="17"/>
                <w:color w:val="auto"/>
              </w:rPr>
            </w:pPr>
          </w:p>
        </w:tc>
      </w:tr>
      <w:tr>
        <w:trPr>
          <w:trHeight w:val="196"/>
        </w:trPr>
        <w:tc>
          <w:tcPr>
            <w:tcW w:w="6440" w:type="dxa"/>
            <w:vAlign w:val="bottom"/>
            <w:tcBorders>
              <w:bottom w:val="single" w:sz="8" w:color="CFF0FC"/>
            </w:tcBorders>
            <w:gridSpan w:val="5"/>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251,382</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51,501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185,008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(26,384 )</w:t>
            </w: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30,171</w:t>
            </w:r>
          </w:p>
        </w:tc>
        <w:tc>
          <w:tcPr>
            <w:tcW w:w="100" w:type="dxa"/>
            <w:vAlign w:val="bottom"/>
          </w:tcPr>
          <w:p>
            <w:pPr>
              <w:spacing w:after="0"/>
              <w:rPr>
                <w:sz w:val="17"/>
                <w:szCs w:val="17"/>
                <w:color w:val="auto"/>
              </w:rPr>
            </w:pPr>
          </w:p>
        </w:tc>
      </w:tr>
      <w:tr>
        <w:trPr>
          <w:trHeight w:val="203"/>
        </w:trPr>
        <w:tc>
          <w:tcPr>
            <w:tcW w:w="6440" w:type="dxa"/>
            <w:vAlign w:val="bottom"/>
            <w:tcBorders>
              <w:bottom w:val="single" w:sz="8" w:color="CFF0FC"/>
            </w:tcBorders>
            <w:gridSpan w:val="5"/>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at the beginning of the year</w:t>
            </w: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13,248</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39,632</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Cash and cash equivalents at the end of the year</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198,256</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13,248</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39,632</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6420" w:type="dxa"/>
            <w:vAlign w:val="bottom"/>
            <w:gridSpan w:val="4"/>
            <w:shd w:val="clear" w:color="auto" w:fill="CFF0FC"/>
          </w:tcPr>
          <w:p>
            <w:pPr>
              <w:spacing w:after="0" w:line="176" w:lineRule="exact"/>
              <w:rPr>
                <w:sz w:val="20"/>
                <w:szCs w:val="20"/>
                <w:color w:val="auto"/>
              </w:rPr>
            </w:pPr>
            <w:r>
              <w:rPr>
                <w:rFonts w:ascii="Arial" w:cs="Arial" w:eastAsia="Arial" w:hAnsi="Arial"/>
                <w:sz w:val="18"/>
                <w:szCs w:val="18"/>
                <w:color w:val="auto"/>
              </w:rPr>
              <w:t>Supplemental cash flow data:</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7"/>
        </w:trPr>
        <w:tc>
          <w:tcPr>
            <w:tcW w:w="20" w:type="dxa"/>
            <w:vAlign w:val="bottom"/>
            <w:shd w:val="clear" w:color="auto" w:fill="CFF0FC"/>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37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Cash paid during the year for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6420" w:type="dxa"/>
            <w:vAlign w:val="bottom"/>
            <w:gridSpan w:val="4"/>
            <w:shd w:val="clear" w:color="auto" w:fill="CFF0FC"/>
          </w:tcPr>
          <w:p>
            <w:pPr>
              <w:spacing w:after="0" w:line="176" w:lineRule="exact"/>
              <w:rPr>
                <w:sz w:val="20"/>
                <w:szCs w:val="20"/>
                <w:color w:val="auto"/>
              </w:rPr>
            </w:pPr>
            <w:r>
              <w:rPr>
                <w:rFonts w:ascii="Arial" w:cs="Arial" w:eastAsia="Arial" w:hAnsi="Arial"/>
                <w:sz w:val="18"/>
                <w:szCs w:val="18"/>
                <w:color w:val="auto"/>
              </w:rPr>
              <w:t>Non-cash financing activity:</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7"/>
        </w:trPr>
        <w:tc>
          <w:tcPr>
            <w:tcW w:w="20" w:type="dxa"/>
            <w:vAlign w:val="bottom"/>
            <w:shd w:val="clear" w:color="auto" w:fill="CFF0FC"/>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37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420" w:type="dxa"/>
            <w:vAlign w:val="bottom"/>
            <w:gridSpan w:val="4"/>
          </w:tcPr>
          <w:p>
            <w:pPr>
              <w:spacing w:after="0" w:line="202" w:lineRule="exact"/>
              <w:rPr>
                <w:sz w:val="20"/>
                <w:szCs w:val="20"/>
                <w:color w:val="auto"/>
              </w:rPr>
            </w:pPr>
            <w:r>
              <w:rPr>
                <w:rFonts w:ascii="Arial" w:cs="Arial" w:eastAsia="Arial" w:hAnsi="Arial"/>
                <w:sz w:val="18"/>
                <w:szCs w:val="18"/>
                <w:color w:val="auto"/>
              </w:rPr>
              <w:t>Employee taxes withheld related to restricted stock units vested</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24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440" w:type="dxa"/>
            <w:vAlign w:val="bottom"/>
            <w:gridSpan w:val="5"/>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issuance cost on credit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0"/>
        </w:trPr>
        <w:tc>
          <w:tcPr>
            <w:tcW w:w="6440" w:type="dxa"/>
            <w:vAlign w:val="bottom"/>
            <w:gridSpan w:val="5"/>
          </w:tcPr>
          <w:p>
            <w:pPr>
              <w:ind w:left="20"/>
              <w:spacing w:after="0"/>
              <w:rPr>
                <w:sz w:val="20"/>
                <w:szCs w:val="20"/>
                <w:color w:val="auto"/>
              </w:rPr>
            </w:pPr>
            <w:r>
              <w:rPr>
                <w:rFonts w:ascii="Arial" w:cs="Arial" w:eastAsia="Arial" w:hAnsi="Arial"/>
                <w:sz w:val="18"/>
                <w:szCs w:val="18"/>
                <w:color w:val="auto"/>
              </w:rPr>
              <w:t>Conversion of preferred stock to common stock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111,282</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-3562985</wp:posOffset>
            </wp:positionV>
            <wp:extent cx="6032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-3562985</wp:posOffset>
            </wp:positionV>
            <wp:extent cx="5969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-3562985</wp:posOffset>
            </wp:positionV>
            <wp:extent cx="5969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-2646045</wp:posOffset>
            </wp:positionV>
            <wp:extent cx="6032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-2646045</wp:posOffset>
            </wp:positionV>
            <wp:extent cx="5969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-2646045</wp:posOffset>
            </wp:positionV>
            <wp:extent cx="5969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-1471295</wp:posOffset>
            </wp:positionV>
            <wp:extent cx="6032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-1471295</wp:posOffset>
            </wp:positionV>
            <wp:extent cx="5969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-1471295</wp:posOffset>
            </wp:positionV>
            <wp:extent cx="5969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-1205865</wp:posOffset>
            </wp:positionV>
            <wp:extent cx="6032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-1205865</wp:posOffset>
            </wp:positionV>
            <wp:extent cx="596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-1205865</wp:posOffset>
            </wp:positionV>
            <wp:extent cx="5969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line="237" w:lineRule="auto"/>
        <w:rPr>
          <w:sz w:val="20"/>
          <w:szCs w:val="20"/>
          <w:color w:val="auto"/>
        </w:rPr>
      </w:pPr>
      <w:r>
        <w:rPr>
          <w:rFonts w:ascii="Arial" w:cs="Arial" w:eastAsia="Arial" w:hAnsi="Arial"/>
          <w:sz w:val="20"/>
          <w:szCs w:val="20"/>
          <w:b w:val="1"/>
          <w:bCs w:val="1"/>
          <w:color w:val="auto"/>
        </w:rPr>
        <w:t>TALKSPACE, INC.</w:t>
      </w: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Talkspace was originally incorporated as Hudson Executive Investment Corp. (“HEC”), a special purpose acquisition company, in Delaware on October 30, 2019 for the purpose of entering into a merger, share exchange, asset acquisition, stock purchase, recapitalization or other similar business combination with one or more businesses or entities.</w:t>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 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“Second Merger” and, together with the First Merger, the “Business Combination”). In connection with the Business Combination, HEC filed the Certificate of Incorporation and changed its name to “Talkspace, Inc.”.</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See Note 3, “Business Combination” in the notes to the consolidated financial statements for further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global pandemic associated with COVID-19 has caused major disruption to all aspects of the global economy and daily life, particularly as quarantine and stay-at-home orders have been imposed by all levels of government. The Company has followed guidance by the United States, Israeli and other applicable foreign and local governments to protect its employees and operations during the pandemic and has implemented a remote environment for its business. The Company cannot predict the potential impacts of the COVID-19 pandemic on its business or operations, but continuously monitors performance and other industry reports to assess the risk of future negative impacts as the disruptions of the COVID-19 pandemic continue to evolve.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AND ESTIMATES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financial statements have been prepared in conformity with generally accepted accounting principles in the U.S. (“U.S. GAAP”).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financial statements and accompanying notes. The Company evaluates its assumptions on an ongoing basis. The Company’s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include the accounts of Talkspace, Inc. and its subsidiaries. The Company consolidates all subsidiaries in which it has a controlling financial interest. Intercompany transactions and balances have been eliminated upon consolidation.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to the statement of operations in the period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in U.S. dollars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Most of the Company’s revenues and costs are denominated in United States dollar (“dollar”). The Company’s management believes that the dollar is the primary currency of the economic environment in which the Company and each of its subsidiaries operate. Thus, the dollar is the Company’s functional and reporting currency.</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Accordingly, non-dollar denominated transactions and balances have been re-measured into the functional currency in accordance with Accounting Standard Codification (“ASC”) 830, “Foreign Currency Matters”. All transaction gains and losses from the re-measured monetary balance sheet items are reflected in the statements of comprehensive loss as financial income or expenses, as appropriate.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0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operates its business in a single segment and as one reporting unit, which is how its chief operating decision maker, the Company’s Interim Chief Executive Officer, reviews financial performance and allocates resources. The majority of the Company’s operations are based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equivalents are short-term unrestricted highly liquid investments that are readily convertible to cash and with original maturities of three months or less at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annual rates:</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r>
      <w:tr>
        <w:trPr>
          <w:trHeight w:val="196"/>
        </w:trPr>
        <w:tc>
          <w:tcPr>
            <w:tcW w:w="5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Computers</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7"/>
                <w:szCs w:val="17"/>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Electronic equipment</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Goodwill represents the excess of the purchase price in a business combination over the fair value of the net tangible and intangible assets acquired.</w:t>
      </w:r>
    </w:p>
    <w:p>
      <w:pPr>
        <w:spacing w:after="0" w:line="11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ASC 350 requires goodwill to be tested for impairment at the reporting unit level at least annually or between annual tests under certain circumstances and written down when impaired. Goodwill is tested for impairment by comparing the fair value of the reporting unit with its carrying value.</w:t>
      </w:r>
    </w:p>
    <w:p>
      <w:pPr>
        <w:spacing w:after="0" w:line="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ASC 350 allows an entity to first assess qualitative factors to determine whether it is necessary to perform the two-step quantitative goodwill impairment test. If the qualitative assessment does not result in a more likely than not indication of impairment, no further impairment testing is required. If it does result in a more likely than not indication of impairment, the two-step impairment test is performed. Alternatively, ASC 350 permits an entity to bypass the qualitative assessment for any reporting unit and proceed directly to performing the first step of the goodwill impairment test.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Acquired identifiable finite-lived intangible assets are amortized on a straight-line basis or accelerated method over the estimated useful lives of the assets. The basis of amortization approximates the pattern in which the assets are utilized, over their estimated</w:t>
      </w: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useful lives. The Company routinely reviews the remaining estimated useful lives of finite-lived intangible assets. In case the Company reduces the estimated useful life for any asset, the remaining unamortized balance is amortized or depreciated over the revised estimated useful life.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intangible assets subject to amortization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No impairment losses were recorded during the years ended December 31, 2021, 2020 or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recognizes revenues in accordance with ASC 606, “Revenue from Contracts with Customers”.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contract with a customer exists only when the parties to the contract have approved it and are committed to perform their respective obligations, the Company can identify each party’s rights regarding the distinct services to be transferred (“performance obligations”), the Company can determine the transaction price for the services to be transferred, the contract has commercial substance and it is probable that the Company will collect the consideration to which it will be entitled in exchange for the services that will be transferred to the customer.</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operating a virtual behavioral healthcare business that connects individuals and licensed therapists, psychologists and psychiatrists (“therapists”) with an online platform for one-on-one therapy delivered via messaging, audio and video. Individuals access the Company’s services through the Company’s website or mobile app.</w:t>
      </w:r>
    </w:p>
    <w:p>
      <w:pPr>
        <w:spacing w:after="0" w:line="74"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Revenues are recognized when the Company satisfies its performance obligation to perform its defined contractual obligations to provide virtual behavioral healthcare services. Revenue is recognized in an amount that reflects the consideration that is expected in exchange for the service rendered.</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provides its services directly to individuals, enterprises, health insurance organizations and employee assistance organizations. Subscription fees that derived from individuals are prepaid and recognized as services over the subscription period. Individuals may cancel their subscription at any time and will receive a pro-rata refund for the subscription price.</w:t>
      </w:r>
    </w:p>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contracts with enterprises to provide access to its therapist platform for their employees, primarily based on a per-member-per-month access fee model. Revenues from access fees are recognized ratably over the contractual term period. Contracts with enterprises are one or more years in length with the ability to provide 60 days advance notice prior to termination at each year mark during the term. On occasion and depending on the customer, the Company allows for an intra-year termination upon a 60-day or 90-day advance notice following the expiration of the contract’s first year.</w:t>
      </w:r>
    </w:p>
    <w:p>
      <w:pPr>
        <w:spacing w:after="0" w:line="4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also contracts with health insurance and employee assistance (EAP) organizations to provide its therapy and psychiatry services to their eligible covered members. Revenue is recognized at a point in time, as virtual therapy or psychiatry session is rendered. Contracts with health insurance and EAP organizations include annual evergreen clauses and generally may be terminated by either party typically upon a minimum 30-day advance notice.</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elected to use the practical expedient and recognize the incremental costs of obtaining contracts as an expense since the amortization period of the assets that the Company otherwise would have recognized is one year or 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records contract liabilities as deferred revenues, when it receives payments from customers before performance obligations have been performed and satisfied. The Company recognizes deferred revenues as revenues in the statement of operations and comprehensive loss once performance obligations have been performed and satisfied. The balance of deferred revenues approximates the aggregate amount of the transaction price allocated to the unsatisfied performance obligations at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end of reporting period. The Company anticipates that it will satisfy all of its performance obligations associated with the deferred revenue within the prospective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 consists of therapist payments and costs for cloud-based hosting and managing.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consist of research and development, clinical operations, sales and marketing, and general and administrative expenses.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Research and development expenses include personnel and related expenses for software development and engineering, information technology infrastructure, security and privacy compliance and product development (inclusive of stock-based compensation for the Company’s research and development employees), third-party services and contractors related to research and development, information technology, software-related costs, and cost savings related to the application of research grant proceeds. Research grant proceeds for the years ending December 31, 2021 and 2020 were $1.2 million and $0.1 million, respectively. No research grant proceeds were received for the year ending December 31, 2019.</w:t>
      </w:r>
    </w:p>
    <w:p>
      <w:pPr>
        <w:spacing w:after="0" w:line="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Software development expenses also include costs to develop software to be used solely to meet internal needs and applications used to deliver our services. These software development costs meet the criteria for capitalization once the preliminary project stage is complete and it is probable that the project will be completed and the software will be used to perform the function intended. Development costs that meet the criteria for capitalization were not material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operations expenses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operations expenses are associated with the management of the Company’s network of therapists. Such costs consist of recruiting, credentialing, onboarding, training, performing ongoing quality assurance activities (inclusive of stock-based compensation for the Company’s clinical operations employees), costs of third-party services and contractors related to recruiting and training and software-related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expenses consist primarily of employee-related expenses, including salaries, benefits, commissions, travel and stock-based compensation costs for the Company’s employees engaged in sales and account management.</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Marketing expenses consist primarily of advertising and marketing expenses for consumer acquisition and engagement, as well as personnel costs, including salaries, benefits, bonuses, stock-based compensation expense for marketing employees and third-party services and contractors. Marketing expenses also include third-party software subscription services, third-party independent research, participation in trade shows, brand messaging and costs of communications materials that are produced for the Company’s clients to generate greater awareness and utilization of our platform among our health plan and enterprise clients.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Advertising costs are expensed when incurred and include all campaigns to the Company’s platform. For the years ended December 31, 2021, 2020 and 2019 advertising expenses were $69.3 million, $31.5 million and $18.9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consist primarily of personnel costs, including salaries, benefits, bonuses and stock-based compensation expense for the Company’s executive, finance, accounting, legal and human resources functions, as well as professional fees, occupancy costs, and other general overhead costs.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risks</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Financial instruments that potentially subject the Company and its subsidiaries to concentrations of credit risk consist principally of cash and cash equivalents and accounts receivable.</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majority of the Company’s cash and cash equivalents are maintained in U.S. dollar. Generally, these cash and cash equivalents and deposits may be redeemed upon demand. Although the Company deposits its cash with multiple financial institutions in U.S. its deposits, at times, may exceed federally insured limits. Management believes that the financial institutions that hold the Company’s and its subsidiaries’ cash and cash equivalents are institutions with high credit standing, and accordingly, minimal credit risk exists with respect to these assets.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accounts receivable are derived from sales to customers in the United States. Concentration of credit risk with respect to accounts receivable is limited by credit limits, ongoing credit evaluation and account monitoring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Reserves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Revenue reserves relate primarily to allowances for balances which collection is uncertain and estimated refunds. Account receivables are recorded at the invoiced amount and amounts for which revenue has been recognized but not invoiced, net of the impact from revenue reserves. Revenue reserves are based on the Company’s assessment of historical collection experience. The Company regularly reviews the adequacy of its reserve based on a combination of factors, including an assessment of the current customer’s aging balance, the nature of the balance and any receivables in dispute. The Company accrues for estimated refunds in the period in which the related revenue is recognized. Revenue reserves are recorded as a reduction against revenue when identified. Refer to Note 5, “Revenue Recognition” for further information.</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 single customer represented 10% or more of total revenue during the years ended December 31, 2021, 2020 and 2019. As of December 31, 2021, one customer represents 16.8% of the accounts receivable balance. As of December 31, 2020, one customer represented 26.6% of the accounts receivable balance. As of December 31, 2019, three customers represented 25.7%, 12.6% and 10.8% of the accounts receivable balance.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Company accounts for stock-based compensation in accordance with ASC 718,“Compensation-Stock Compensation”, which requires compensation expenses to be recognized in the consolidated statements of operations and comprehensive loss at grant date fair value over the requisite service period of each of the awards. The Company recognizes forfeitures of awards as they occur.</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fair value of restricted stock units is measured as the grant-date closing price of the Company’s common stock. The fair value of stock options is determined using the Black-Scholes-Merton option pricing model. The option-pricing model requires a number of assumptions, of which the most significant are the expected stock price volatility and the expected option term. Expected volatility was calculated based upon similar traded companies’ historical share price movements as adequate historical experience is not available to provide a reasonable estimate.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calculated based on the yield from U.S. Treasury zero-coupon bonds with an equivalent term. The Company has historically not paid dividends and have no foreseeable plans to pay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Determination of Fair Value of our Common Stock prior to the Business Combination</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Due to the absence of an active market for our shares of common stock prior to the Business Combination, the grant-date fair market value of the common shares underlying stock options was historically determined by management with the assistance of third-party valuation specialists and approved by the Company’s board of directors. Because there was no public market for the Company’s common shares, the Board of Directors exercised reasonable judgment and considered a number of objective and subjective factors to determine the best estimate of the fair market value, which included important developments in the Company’s operations, the prices at which the Company sold shares of its convertible preferred shares, the rights, preferences and privileges of the Company’s convertible preferred shares relative to those of the Company’s common shares, actual operating results, financial performance and the lack of marketability of the Company’s common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8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applies ASC 820, “Fair Value Measurements and Disclosures”. Under this standard, fair value is defined as the price that would be received to sell an asset or paid to transfer a liability (i.e., the “exit price”) in an orderly transaction between market participants at the measurement date.</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hierarchy is broken down into three levels based on the inputs as follows:</w:t>
      </w:r>
    </w:p>
    <w:p>
      <w:pPr>
        <w:spacing w:after="0" w:line="104" w:lineRule="exact"/>
        <w:rPr>
          <w:sz w:val="20"/>
          <w:szCs w:val="20"/>
          <w:color w:val="auto"/>
        </w:rPr>
      </w:pPr>
    </w:p>
    <w:p>
      <w:pPr>
        <w:jc w:val="both"/>
        <w:ind w:left="380"/>
        <w:spacing w:after="0" w:line="248" w:lineRule="auto"/>
        <w:rPr>
          <w:sz w:val="20"/>
          <w:szCs w:val="20"/>
          <w:color w:val="auto"/>
        </w:rPr>
      </w:pPr>
      <w:r>
        <w:rPr>
          <w:rFonts w:ascii="Arial" w:cs="Arial" w:eastAsia="Arial" w:hAnsi="Arial"/>
          <w:sz w:val="18"/>
          <w:szCs w:val="18"/>
          <w:color w:val="auto"/>
        </w:rPr>
        <w:t>Level 1: Valuations based on quoted prices in active markets for identical assets that the Company has the ability to access. Since valuations are based on quoted prices that are readily and regularly available in an active market, valuation of these products does not entail a significant degree of judgment.</w:t>
      </w:r>
    </w:p>
    <w:p>
      <w:pPr>
        <w:spacing w:after="0" w:line="74"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Level 2: Valuations based on one or more quoted prices in markets that are not active or for which all significant inputs are observable, either directly or indirectly.</w:t>
      </w:r>
    </w:p>
    <w:p>
      <w:pPr>
        <w:spacing w:after="0" w:line="63" w:lineRule="exact"/>
        <w:rPr>
          <w:sz w:val="20"/>
          <w:szCs w:val="20"/>
          <w:color w:val="auto"/>
        </w:rPr>
      </w:pPr>
    </w:p>
    <w:p>
      <w:pPr>
        <w:ind w:left="380"/>
        <w:spacing w:after="0"/>
        <w:tabs>
          <w:tab w:leader="none" w:pos="12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accounts for income taxes in accordance with ASC 740, "Income Taxes". ASC 740 prescribes the use of an asset and liability approach that requires the recognition of deferred tax assets and liabilities for the expected future tax consequences of events that have been recognized in its financial statements or tax returns. The net deferred tax assets assume sufficient future earnings for their realization, as well as the continued application of currently enacted tax rates. Included in net deferred tax assets is a valuation allowance for deferred tax assets, where management believes it is more-likely-than-not that the deferred tax assets will not be realized in the relevant jurisdiction. If the Company determines that a deferred tax asset will not be realizable, an adjustment to the deferred tax asset will result in a reduction of net earnings at that time. Accrued interest and penalties are included within the related tax asset or liability in the accompanying financial statements.</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follows the provisions in ASC 740 and the guidance related to accounting for uncertainty in income taxes. The Company determines its uncertain tax positions based on a determination of whether and how much of a tax benefit taken in its tax filings or positions is more likely than not to be sustained upon examination by the relevant income tax authorities. The Company is subject to U.S. federal and state and Israeli income taxes with varying statutes of limitations. The Company is not currently under examination by any income tax authority, nor has it been notified that an examination is contemplated. The Company is no longer subject to U.S. federal, state or local income tax examinations by the tax authorities for years before 2018. The Israel subsidiary tax assessments filed by the Company through the 2015 are considered closed; tax years after 2015 remain open to examination due to the carryover of net operating losses. The Company's policy is to recognize interest related to unrecognized tax benefits as interest expense and penalties as operating expenses.</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2021 and 2020 the Company did not record any provision for uncertain tax positions. The Company does not anticipate that the assessment will significantly increase or decrease within the next 12 months. No accrued interest or penalties were accrued as of December 31, 2021 and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computes net loss per share using the two-class method required for participating securities. The two-class method requires income available to ordinary shareholders for the period to be allocated between shares of common stock and participating securities based upon their respective rights to receive dividends as if all income for the period had been distributed. For the years ended December 31, 2020 and 2019, the Company considered its convertible preferred shares to be participating securities as the holders of the convertible preferred shares would be entitled to dividends that would be distributed to the holders of shares of common stock, on a pro-rata basis assuming conversion of all convertible preferred shares into shares of common stock.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participating securities did not contractually require the holders of such shares to participate in the Company’s losses. As such, net loss for the years ended December 31, 2020 and 2019 were not allocated to the Company’s participating securities.</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basic net loss per share is calculated by dividing net loss attributable to ordinary shareholders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shares of common stock are anti-dilutive.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November 2021, the Financial Accounting Standards Board (“FASB”) issued ASU 2021-10, Government Assistance (Topic 832): Disclosures by Business Entities about Government Assistance, which requires entities to disclose information about certain types of government assistance they receive in the notes to the financial statements. Entities are required to provide the new disclosures prospectively for all transactions with a government entity that are accounted for under either a grant or a contribution accounting model and are reflected in the financial statements at the date of initially applying the new amendments, and to new transactions entered into after that date. Retrospective application of the guidance is permitted. The amendments in this ASU are effective for all entities within their scope for financial statements issued for annual periods beginning after December 15, 2021. The Company adopted this guidance on January 1, 2022 and the adoption did not have a significant impact on its consolidated financial statements or related disclosures.</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May 2021, the FASB issued ASU 2021-04—Earnings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which clarifies and reduces diversity in accounting for modifications or exchanges of freestanding equity-written call options that remain equity classified after modifications or exchanges based on the substance of the transactions. The amendments in this ASU are effective for all entities for fiscal years beginning after December 15, 2021, including interim periods within those fiscal years. The Company adopted this guidance on January 1, 2022 and the adoption did not have an impact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2016-02, “Leases” (Topic 842 )</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February 2016, the FASB issued ASU 2016-02, Leases (Topic 842). This ASU clarifies the definition of a lease and requires a lessee to recognize in the statement of financial position a liability to make lease payments (the lease liability) and a right-to-use asset representing its right to use the underlying asset for the lease term. The Company adopted ASC 842 on January 1, 2021 and did not restate comparative periods. In addition, the Company elected the available practical expedients discussed below on adoption.</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determines if an arrangement is a lease at inception. Lease classification is governed by five criteria in ASC 842-10-25-2. If any of these five criteria is met, the Company classifies the lease as a finance lease. Otherwise, the Company classifies the lease as an operating lease. As of December 31, 2021, all arrangements were classified as operating leases.</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Operating leases are included in operating lease right-of-use (“ROU”) assets and operating lease liabilities in the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 Operating lease expenses are recognized on a straight-line basis over the lease term.</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new standard also provides practical expedients for an entity’s ongoing accounting. The Company elected the short-term lease recognition exemption for all leases with a term shorter than 12 months. This means that for those leases, the Company does not recognize ROU assets or lease liabilities, including not recognizing ROU assets or lease liabilities for existing short-term leases of those assets in transition, but recognizes lease expenses over the lease term on a straight-line basis. The Company also elected the practical expedient to not separate lease and non-lease components for all of the Company’s leases.</w:t>
      </w:r>
    </w:p>
    <w:p>
      <w:pPr>
        <w:spacing w:after="0" w:line="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does not currently have any leases with terms in excess of 12 months. The Company adopted this ASU with no impact on its consolidated financial statements or related disclosures.</w:t>
      </w: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June 22, 2021, the Company completed the Business Combination pursuant to the Merger Agreement dated January 12, 2021. The Business Combination was accounted for as a reverse recapitalization in accordance with U.S. GAAP. Under this method of accounting, HEC who was the legal acquirer, is treated as the “acquired” company for financial reporting purposes. Accordingly, the Business Combination was treated as the equivalent of Old Talkspace issuing stock for the net assets of HEC, accompanied by a recapitalization. The net assets of HEC are stated at historical cost, with no goodwill or other intangible assets recorded.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Old Talkspace was determined to be the accounting acquirer based on the following predominant factors:</w:t>
      </w:r>
    </w:p>
    <w:p>
      <w:pPr>
        <w:spacing w:after="0" w:line="225" w:lineRule="exact"/>
        <w:rPr>
          <w:sz w:val="20"/>
          <w:szCs w:val="20"/>
          <w:color w:val="auto"/>
        </w:rPr>
      </w:pPr>
    </w:p>
    <w:p>
      <w:pPr>
        <w:ind w:left="760" w:right="20" w:hanging="378"/>
        <w:spacing w:after="0" w:line="26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Old Talkspace’s shareholders represent a relative majority of the voting rights in the Company and have the ability to nominate the members of the board of directors for the Company;</w:t>
      </w:r>
    </w:p>
    <w:p>
      <w:pPr>
        <w:spacing w:after="0" w:line="7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Old Talkspace’s operations prior to the acquisition represent the ongoing operations of the Company;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Old Talkspace’s senior management represents a majority of the senior management of the Company.</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consolidated assets, liabilities and results of operations prior to the Business Combination are those of Old Talkspace. The shares and corresponding capital amounts and losses per share, prior to the Business Combination, have been retroactively restated based on shares reflecting the exchange ratio established in the Business Combination.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Upon the closing of the Business Combination, among other things, all shares of Old Talkspace’s Common Stock, par value $0.001 per share (the “Old Talkspace Common Stock”), all shares of Old Talkspace’s Series Seed Preferred Stock, par value $0.001 per share, Series Seed-1 Preferred Stock, par value $0.001 per share, Series Seed-2 Preferred Stock, par value $0.001 per share, Series A Preferred Stock, par value $0.001 per share, Series B Preferred Stock, par value $0.001 per share, Series C Preferred Stock, par value $0.001 per share and Series D Preferred Stock, par value $0.001 per share (collectively, the “Old Talkspace Preferred Stock” and, together with the Old Talkspace Common Stock, the “Old Talkspace Capital Stock”) and all vested options exercisable for Old Talkspace Common Stock (“Old Talkspace Vested Options”) outstanding as of immediately prior to Closing were cancelled or assumed, as applicable, and converted into the right to receive, at the election of the holders thereof, a number of shares of Talkspace’s Common Stock, par value $0.0001 per share (the “Talkspace common stock”) (or, with respect to holders of Old Talkspace Vested Options, a number of vested options exercisable for Talkspace common stock “Talkspace Vested Options”) or a combination of shares of Talkspace common stock and cash (or, with respect to holders of Old Talkspace Vested Options, a combination of Talkspace Vested Options and cash), in each case, as adjusted pursuant to the Merger Agreement, which, in the aggregate with the unvested options exercisable for Old Talkspace Common Stock assumed by Talkspace and converted into unvested options exercisable for Talkspace common stock, equaled approximately $199.3 million in cash and 109,461,534 shares of Talkspace common stock (at a deemed value of $10.00 per share). The 109,461,534 shares consisted of 91,473,779 shares issued to holders of Old Talkspace capital stock and 17,987,755 options to purchase Talkspace common stock issued to holders of Old Talkspace stock options. The exchange ratio of 1.134140 was used to convert Old Talkspace capital stock and stock options into Talkspace capital stock and stock options.</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Business Combination, a number of investors (each, a “Subscriber”) purchased from the Company an aggregate of 30,000,000 shares of common stock (the “PIPE”), for a purchase price of $10.00 per share and an aggregate purchase price of $300.0 million (the “PIPE Shares”), pursuant to separate subscription agreements (each, a “Subscription Agreement”) entered into effective as of January 12, 2021.</w:t>
      </w:r>
    </w:p>
    <w:p>
      <w:pPr>
        <w:spacing w:after="0" w:line="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in connection with the execution of the Merger Agreement, Talkspace entered into an amendment to the forward purchase agreement (as amended, the “Forward Purchase Agreement”) with HEC Master Fund LP, a Delaware limited partnership and affiliate of the Sponsor (“HEC Fund”), dated June 8, 2020. Pursuant to the Forward Purchase Agreement, HEC Fund agreed to purchase 2,500,000 forward purchase units, consisting of one share of HEC’s Class A common stock and one-half of one warrant to purchase one share of HEC’s Class A common stock, for $10.00 per unit, or an aggregate amount of $25.0 million, in a private placement that would close concurrently with the Closing and to backstop up to $25.0 million of redemptions by stockholders of HEC (the “Forward Purchase”).</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Immediately after giving effect to the redemption of 25,968,043 shares of HEC’s Class A common stock in connection with the Business Combination, the Forward Purchase and the PIPE Investment, there were 152,255,736 shares of Talkspace common stock and 33,480,000 warrants to purchase Talkspace common stock (the “Talkspace warrants”) outstanding. Upon the consummation of the Business Combination, HEC’s Class A common stock, warrants and units ceased trading on The Nasdaq Stock Market LLC (the “Nasdaq”), and Talkspace common stock and Talkspace warrants began trading on June 23, 2021 on Nasdaq under the symbols “TALK” and “TALKW,”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Upon the closing of the Business Combination, the Company’s certificate of incorporation was amended and restated to, among other things, increase the total number of authorized shares of common stock to 1,000,000,000 shares, $0.0001 par value per share, and authorized shares of preferred stock to 100,000,000, $0.0001 par value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 and Private Placement Warrants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a result of the Business Combination, the Company assumed the outstanding Public Warrants to purchase 20,700,000 shares of the Company’s common stock and the outstanding Private Placement Warrants to purchase 10,280,000 shares of the Company’s common stock. Additionally, the Company issued 2,500,000 Private Placement Warrants at Closing pursuant to the Forward Purchase Agreement with HEC Fund as described above. Each whole Warrant entitles the registered holder to purchase one share of the Company’s common stock at a price of $11.50 per share, at any time commencing 30 days after the closing of the Business Combination. The warrants expire five years after the completion of the Business Combination.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for Cash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call the Public Warrants for redemption:</w:t>
      </w:r>
    </w:p>
    <w:p>
      <w:pPr>
        <w:spacing w:after="0" w:line="104"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upon a minimum of thirty (30) days’ prior written notice of redemption, or the thirty (30)-day redemption period, to each warrant holder; and</w:t>
      </w:r>
    </w:p>
    <w:p>
      <w:pPr>
        <w:spacing w:after="0" w:line="115" w:lineRule="exact"/>
        <w:rPr>
          <w:rFonts w:ascii="Arial" w:cs="Arial" w:eastAsia="Arial" w:hAnsi="Arial"/>
          <w:sz w:val="17"/>
          <w:szCs w:val="17"/>
          <w:color w:val="auto"/>
        </w:rPr>
      </w:pPr>
    </w:p>
    <w:p>
      <w:pPr>
        <w:jc w:val="both"/>
        <w:ind w:left="760" w:hanging="378"/>
        <w:spacing w:after="0" w:line="248"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stock splits, stock recapitalizations, reorganizations, recapitalizations and the like) for any twenty (20) trading days within a thirty (30)-trading day period ending on the third business day prior to the date on which we send the notice of redemption to the warrant holders.</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When the Public Warrants become redeemable, the Company may exercise the redemption right even if the Company is unable to register or qualify the underlying securities for sale under all applicable state securities laws.</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Private Placement Warrants are identical to the Public Warrants, except that the Private Placement Warrants and the shares of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for cash or on a cashless basis, at the holder’s option,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6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Company determined the Public Warrants met the criteria to be classified as equity in accordance with ASC 815-40. The Company valued these warrants using the instrument’s publicly listed trading price on the date of acquisition or issuance, where applicable, and included $27.9 million related to these warrants in additional paid-in capital within stockholder’s equity.</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Private Placement Warrants are accounted for as liabilities in accordance with ASC 815-40. As of December 31, 2021, the Company included $4.1 million within warrant liabilities in the accompanying consolidated balance sheets. See Note 8, “Fair Value Measurement” in the notes to the consolidated financial statements for further details.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November 1, 2020, the Company completed an acquisition of Lasting, an app-based subscription for relationship and couple counseling for a total cash consideration of $10.7 million. In addition, the Company entered into a non-competition agreement for a total consideration of $0.9 million, which was recorded as an intangible asset and amortized over a period of 3.17 years.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Under business combination accounting principles, the total purchase price was allocated to Lasting’s intangible assets based on their estimated fair values.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excess of the purchase price over the identifiable intangible assets was recorded as goodwill.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for the acquisition has been determined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5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1057"/>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4"/>
                <w:szCs w:val="14"/>
                <w:color w:val="auto"/>
              </w:rPr>
            </w:pPr>
          </w:p>
        </w:tc>
        <w:tc>
          <w:tcPr>
            <w:tcW w:w="248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Amortization period (years)</w:t>
            </w:r>
          </w:p>
        </w:tc>
        <w:tc>
          <w:tcPr>
            <w:tcW w:w="40" w:type="dxa"/>
            <w:vAlign w:val="bottom"/>
          </w:tcPr>
          <w:p>
            <w:pPr>
              <w:spacing w:after="0"/>
              <w:rPr>
                <w:sz w:val="14"/>
                <w:szCs w:val="14"/>
                <w:color w:val="auto"/>
              </w:rPr>
            </w:pPr>
          </w:p>
        </w:tc>
      </w:tr>
      <w:tr>
        <w:trPr>
          <w:trHeight w:val="142"/>
        </w:trPr>
        <w:tc>
          <w:tcPr>
            <w:tcW w:w="57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Intangible assets:</w:t>
            </w:r>
          </w:p>
        </w:tc>
        <w:tc>
          <w:tcPr>
            <w:tcW w:w="58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8"/>
        </w:trPr>
        <w:tc>
          <w:tcPr>
            <w:tcW w:w="5780" w:type="dxa"/>
            <w:vAlign w:val="bottom"/>
          </w:tcPr>
          <w:p>
            <w:pPr>
              <w:ind w:left="20"/>
              <w:spacing w:after="0"/>
              <w:rPr>
                <w:sz w:val="20"/>
                <w:szCs w:val="20"/>
                <w:color w:val="auto"/>
              </w:rPr>
            </w:pPr>
            <w:r>
              <w:rPr>
                <w:rFonts w:ascii="Arial" w:cs="Arial" w:eastAsia="Arial" w:hAnsi="Arial"/>
                <w:sz w:val="13"/>
                <w:szCs w:val="13"/>
                <w:color w:val="auto"/>
              </w:rPr>
              <w:t>Technology</w:t>
            </w:r>
          </w:p>
        </w:tc>
        <w:tc>
          <w:tcPr>
            <w:tcW w:w="580" w:type="dxa"/>
            <w:vAlign w:val="bottom"/>
          </w:tcPr>
          <w:p>
            <w:pPr>
              <w:jc w:val="right"/>
              <w:ind w:right="468"/>
              <w:spacing w:after="0"/>
              <w:rPr>
                <w:sz w:val="20"/>
                <w:szCs w:val="20"/>
                <w:color w:val="auto"/>
              </w:rPr>
            </w:pPr>
            <w:r>
              <w:rPr>
                <w:rFonts w:ascii="Arial" w:cs="Arial" w:eastAsia="Arial" w:hAnsi="Arial"/>
                <w:sz w:val="10"/>
                <w:szCs w:val="10"/>
                <w:color w:val="auto"/>
                <w:w w:val="71"/>
              </w:rPr>
              <w:t>$</w:t>
            </w:r>
          </w:p>
        </w:tc>
        <w:tc>
          <w:tcPr>
            <w:tcW w:w="2200" w:type="dxa"/>
            <w:vAlign w:val="bottom"/>
          </w:tcPr>
          <w:p>
            <w:pPr>
              <w:jc w:val="right"/>
              <w:spacing w:after="0"/>
              <w:rPr>
                <w:sz w:val="20"/>
                <w:szCs w:val="20"/>
                <w:color w:val="auto"/>
              </w:rPr>
            </w:pPr>
            <w:r>
              <w:rPr>
                <w:rFonts w:ascii="Arial" w:cs="Arial" w:eastAsia="Arial" w:hAnsi="Arial"/>
                <w:sz w:val="13"/>
                <w:szCs w:val="13"/>
                <w:color w:val="auto"/>
              </w:rPr>
              <w:t>3,201</w:t>
            </w:r>
          </w:p>
        </w:tc>
        <w:tc>
          <w:tcPr>
            <w:tcW w:w="2640" w:type="dxa"/>
            <w:vAlign w:val="bottom"/>
            <w:gridSpan w:val="2"/>
          </w:tcPr>
          <w:p>
            <w:pPr>
              <w:jc w:val="right"/>
              <w:spacing w:after="0"/>
              <w:rPr>
                <w:sz w:val="20"/>
                <w:szCs w:val="20"/>
                <w:color w:val="auto"/>
              </w:rPr>
            </w:pPr>
            <w:r>
              <w:rPr>
                <w:rFonts w:ascii="Arial" w:cs="Arial" w:eastAsia="Arial" w:hAnsi="Arial"/>
                <w:sz w:val="13"/>
                <w:szCs w:val="13"/>
                <w:color w:val="auto"/>
              </w:rPr>
              <w:t>7.17</w:t>
            </w:r>
          </w:p>
        </w:tc>
        <w:tc>
          <w:tcPr>
            <w:tcW w:w="40" w:type="dxa"/>
            <w:vAlign w:val="bottom"/>
          </w:tcPr>
          <w:p>
            <w:pPr>
              <w:spacing w:after="0"/>
              <w:rPr>
                <w:sz w:val="12"/>
                <w:szCs w:val="12"/>
                <w:color w:val="auto"/>
              </w:rPr>
            </w:pPr>
          </w:p>
        </w:tc>
      </w:tr>
      <w:tr>
        <w:trPr>
          <w:trHeight w:val="148"/>
        </w:trPr>
        <w:tc>
          <w:tcPr>
            <w:tcW w:w="5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Customer relationship</w:t>
            </w:r>
          </w:p>
        </w:tc>
        <w:tc>
          <w:tcPr>
            <w:tcW w:w="580" w:type="dxa"/>
            <w:vAlign w:val="bottom"/>
            <w:shd w:val="clear" w:color="auto" w:fill="CFF0FC"/>
          </w:tcPr>
          <w:p>
            <w:pPr>
              <w:spacing w:after="0"/>
              <w:rPr>
                <w:sz w:val="12"/>
                <w:szCs w:val="12"/>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1,350</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40" w:type="dxa"/>
            <w:vAlign w:val="bottom"/>
            <w:shd w:val="clear" w:color="auto" w:fill="CFF0FC"/>
          </w:tcPr>
          <w:p>
            <w:pPr>
              <w:spacing w:after="0"/>
              <w:rPr>
                <w:sz w:val="12"/>
                <w:szCs w:val="12"/>
                <w:color w:val="auto"/>
              </w:rPr>
            </w:pPr>
          </w:p>
        </w:tc>
      </w:tr>
      <w:tr>
        <w:trPr>
          <w:trHeight w:val="149"/>
        </w:trPr>
        <w:tc>
          <w:tcPr>
            <w:tcW w:w="5780" w:type="dxa"/>
            <w:vAlign w:val="bottom"/>
          </w:tcPr>
          <w:p>
            <w:pPr>
              <w:ind w:left="20"/>
              <w:spacing w:after="0"/>
              <w:rPr>
                <w:sz w:val="20"/>
                <w:szCs w:val="20"/>
                <w:color w:val="auto"/>
              </w:rPr>
            </w:pPr>
            <w:r>
              <w:rPr>
                <w:rFonts w:ascii="Arial" w:cs="Arial" w:eastAsia="Arial" w:hAnsi="Arial"/>
                <w:sz w:val="13"/>
                <w:szCs w:val="13"/>
                <w:color w:val="auto"/>
              </w:rPr>
              <w:t>Goodwill</w:t>
            </w:r>
          </w:p>
        </w:tc>
        <w:tc>
          <w:tcPr>
            <w:tcW w:w="5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6,134</w:t>
            </w:r>
          </w:p>
        </w:tc>
        <w:tc>
          <w:tcPr>
            <w:tcW w:w="160" w:type="dxa"/>
            <w:vAlign w:val="bottom"/>
          </w:tcPr>
          <w:p>
            <w:pPr>
              <w:spacing w:after="0"/>
              <w:rPr>
                <w:sz w:val="12"/>
                <w:szCs w:val="12"/>
                <w:color w:val="auto"/>
              </w:rPr>
            </w:pPr>
          </w:p>
        </w:tc>
        <w:tc>
          <w:tcPr>
            <w:tcW w:w="2480" w:type="dxa"/>
            <w:vAlign w:val="bottom"/>
          </w:tcPr>
          <w:p>
            <w:pPr>
              <w:jc w:val="right"/>
              <w:spacing w:after="0"/>
              <w:rPr>
                <w:sz w:val="20"/>
                <w:szCs w:val="20"/>
                <w:color w:val="auto"/>
              </w:rPr>
            </w:pPr>
            <w:r>
              <w:rPr>
                <w:rFonts w:ascii="Arial" w:cs="Arial" w:eastAsia="Arial" w:hAnsi="Arial"/>
                <w:sz w:val="13"/>
                <w:szCs w:val="13"/>
                <w:color w:val="auto"/>
              </w:rPr>
              <w:t>infinite</w:t>
            </w:r>
          </w:p>
        </w:tc>
        <w:tc>
          <w:tcPr>
            <w:tcW w:w="40" w:type="dxa"/>
            <w:vAlign w:val="bottom"/>
          </w:tcPr>
          <w:p>
            <w:pPr>
              <w:spacing w:after="0"/>
              <w:rPr>
                <w:sz w:val="12"/>
                <w:szCs w:val="12"/>
                <w:color w:val="auto"/>
              </w:rPr>
            </w:pPr>
          </w:p>
        </w:tc>
      </w:tr>
      <w:tr>
        <w:trPr>
          <w:trHeight w:val="195"/>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 purchase price</w:t>
            </w:r>
          </w:p>
        </w:tc>
        <w:tc>
          <w:tcPr>
            <w:tcW w:w="580" w:type="dxa"/>
            <w:vAlign w:val="bottom"/>
            <w:tcBorders>
              <w:bottom w:val="single" w:sz="8" w:color="auto"/>
            </w:tcBorders>
            <w:shd w:val="clear" w:color="auto" w:fill="CFF0FC"/>
          </w:tcPr>
          <w:p>
            <w:pPr>
              <w:jc w:val="right"/>
              <w:ind w:right="468"/>
              <w:spacing w:after="0"/>
              <w:rPr>
                <w:sz w:val="20"/>
                <w:szCs w:val="20"/>
                <w:color w:val="auto"/>
              </w:rPr>
            </w:pPr>
            <w:r>
              <w:rPr>
                <w:rFonts w:ascii="Arial" w:cs="Arial" w:eastAsia="Arial" w:hAnsi="Arial"/>
                <w:sz w:val="10"/>
                <w:szCs w:val="10"/>
                <w:color w:val="auto"/>
                <w:w w:val="71"/>
              </w:rPr>
              <w:t>$</w:t>
            </w: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10,685</w:t>
            </w:r>
          </w:p>
        </w:tc>
        <w:tc>
          <w:tcPr>
            <w:tcW w:w="160" w:type="dxa"/>
            <w:vAlign w:val="bottom"/>
            <w:tcBorders>
              <w:bottom w:val="single" w:sz="8" w:color="CFF0FC"/>
            </w:tcBorders>
            <w:shd w:val="clear" w:color="auto" w:fill="CFF0FC"/>
          </w:tcPr>
          <w:p>
            <w:pPr>
              <w:spacing w:after="0"/>
              <w:rPr>
                <w:sz w:val="17"/>
                <w:szCs w:val="17"/>
                <w:color w:val="auto"/>
              </w:rPr>
            </w:pPr>
          </w:p>
        </w:tc>
        <w:tc>
          <w:tcPr>
            <w:tcW w:w="24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-25400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342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performing the purchase price allocation, the Company considered, among other factors, analysis of historical financial performance, the best use of the acquired assets and estimates of future performance of Lasting’s operations. In its allocation, applying the income approach, the Company determined the fair values of the Lasting technology and the non-competition agreement. The acquired customer relationship was determined based on the cost approach.</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 forma results of operations related to this acquisition have not been prepared because they are not material to the Company’s consolidated statements of operations and comprehensive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 RECOGNITION</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is operating a virtual behavioral healthcare business that connects individuals and licensed therapists, psychologists and psychiatrists with an online platform for one-on-one therapy delivered via messaging, audio and video. Individuals access the Company’s services through the Company’s website or mobile app. The Company generates revenues from the sale of monthly, quarterly, bi-annual and annual membership subscriptions to its therapy platform as well as supplementary a la carte offerings, payments from members and their respective insurance companies and annually contracted platform access fees from enterprise clients for the delivery of therapy services to their members or employees.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revenues disaggregated by revenue source:</w:t>
      </w:r>
    </w:p>
    <w:p>
      <w:pPr>
        <w:spacing w:after="0" w:line="109"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7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sales to unaffiliated customers:</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Consumers</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74,757</w:t>
            </w: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61,586</w:t>
            </w:r>
          </w:p>
        </w:tc>
        <w:tc>
          <w:tcPr>
            <w:tcW w:w="5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35,438</w:t>
            </w:r>
          </w:p>
        </w:tc>
        <w:tc>
          <w:tcPr>
            <w:tcW w:w="80" w:type="dxa"/>
            <w:vAlign w:val="bottom"/>
          </w:tcPr>
          <w:p>
            <w:pPr>
              <w:spacing w:after="0"/>
              <w:rPr>
                <w:sz w:val="17"/>
                <w:szCs w:val="17"/>
                <w:color w:val="auto"/>
              </w:rPr>
            </w:pPr>
          </w:p>
        </w:tc>
      </w:tr>
      <w:tr>
        <w:trPr>
          <w:trHeight w:val="203"/>
        </w:trPr>
        <w:tc>
          <w:tcPr>
            <w:tcW w:w="7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38,914</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14,604</w:t>
            </w: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2,740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113,671</w:t>
            </w:r>
          </w:p>
        </w:tc>
        <w:tc>
          <w:tcPr>
            <w:tcW w:w="44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76,190</w:t>
            </w:r>
          </w:p>
        </w:tc>
        <w:tc>
          <w:tcPr>
            <w:tcW w:w="5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38,178</w:t>
            </w:r>
          </w:p>
        </w:tc>
        <w:tc>
          <w:tcPr>
            <w:tcW w:w="80" w:type="dxa"/>
            <w:vAlign w:val="bottom"/>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-159385</wp:posOffset>
            </wp:positionV>
            <wp:extent cx="5143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wp:posOffset>
            </wp:positionV>
            <wp:extent cx="431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-159385</wp:posOffset>
            </wp:positionV>
            <wp:extent cx="431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During the years ended December 31, 2021, 2020 and 2019, over 90% of the Company’s revenue was generated from customers located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Revenue Reserves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Revenue reserves are deducted from accounts receivable to present the net amount expected to be collected. As of December 31, 2021, revenue reserves mainly relate to allowances for accounts receivable balances from health insurance and EAP organizations. As of December 31, 2021, the balance of receivables related to these customers was $6.4 million and the revenue reserves against these receivables was $4.9 million, of this amount $1.1 million is related to aged balances prior to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for revenue reserves for the years ended December 31,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60" w:type="dxa"/>
            <w:vAlign w:val="bottom"/>
          </w:tcPr>
          <w:p>
            <w:pPr>
              <w:spacing w:after="0"/>
              <w:rPr>
                <w:sz w:val="14"/>
                <w:szCs w:val="14"/>
                <w:color w:val="auto"/>
              </w:rPr>
            </w:pPr>
          </w:p>
        </w:tc>
        <w:tc>
          <w:tcPr>
            <w:tcW w:w="3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3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5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824</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Additions and other adjustments</w:t>
            </w:r>
          </w:p>
        </w:tc>
        <w:tc>
          <w:tcPr>
            <w:tcW w:w="15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4,094</w:t>
            </w:r>
          </w:p>
        </w:tc>
        <w:tc>
          <w:tcPr>
            <w:tcW w:w="2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6"/>
        </w:trPr>
        <w:tc>
          <w:tcPr>
            <w:tcW w:w="460" w:type="dxa"/>
            <w:vAlign w:val="bottom"/>
          </w:tcPr>
          <w:p>
            <w:pPr>
              <w:spacing w:after="0"/>
              <w:rPr>
                <w:sz w:val="20"/>
                <w:szCs w:val="20"/>
                <w:color w:val="auto"/>
              </w:rPr>
            </w:pPr>
          </w:p>
        </w:tc>
        <w:tc>
          <w:tcPr>
            <w:tcW w:w="38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Ending balance</w:t>
            </w:r>
          </w:p>
        </w:tc>
        <w:tc>
          <w:tcPr>
            <w:tcW w:w="15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4,918</w:t>
            </w:r>
          </w:p>
        </w:tc>
        <w:tc>
          <w:tcPr>
            <w:tcW w:w="2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824</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Pr>
          <w:p>
            <w:pPr>
              <w:spacing w:after="0"/>
              <w:rPr>
                <w:sz w:val="20"/>
                <w:szCs w:val="20"/>
                <w:color w:val="auto"/>
              </w:rPr>
            </w:pPr>
          </w:p>
        </w:tc>
      </w:tr>
      <w:tr>
        <w:trPr>
          <w:trHeight w:val="561"/>
        </w:trPr>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8"/>
        </w:trPr>
        <w:tc>
          <w:tcPr>
            <w:tcW w:w="46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-462280</wp:posOffset>
            </wp:positionV>
            <wp:extent cx="431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-445135</wp:posOffset>
            </wp:positionV>
            <wp:extent cx="431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-462280</wp:posOffset>
            </wp:positionV>
            <wp:extent cx="431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-445135</wp:posOffset>
            </wp:positionV>
            <wp:extent cx="431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records deferred revenue when cash payments are received in advance of the Company’s performance obligation to provide services. Total deferred revenue was $7.2 million and $5.2 million for the years ended December 31, 2021 and 2020, respectively. The Company recognizes deferred revenues as revenues in the statement of operations and comprehensive loss once performance obligations have been performed and satisfied. The Company expects to satisfy all performance obligations associated with the deferred revenue within one year or less.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elected to use the practical expedient and recognize the incremental costs of obtaining contracts as an expense since the amortization period of the assets that the Company otherwise would have recognized is one year or less.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has goodwill of $6.1 million as a result of its acquisition of Lasting on November 1, 2020, an app-based subscription for relationship and couple counseling. The Company operates as one reporting unit and the fair value of the reporting unit is estimated using quoted market prices in active markets of the Company’s stock. Goodwill of a reporting unit is required to be tested for impairment between annual tests if an event occurs or circumstances change that would more likely than not reduce the fair value of a reporting unit below its carrying amount. The Company’s annual goodwill impairment test resulted in no impairment charges for the year ended December 31, 2021. No impairment test was performed for the year ended December 31, 2020 as the acquisition was completed in November 2020, as such no impairment charges were recognized for the year ended December 31, 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comprised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2"/>
              </w:rPr>
              <w:t>For the Years Ended December 31,</w:t>
            </w:r>
          </w:p>
        </w:tc>
        <w:tc>
          <w:tcPr>
            <w:tcW w:w="80" w:type="dxa"/>
            <w:vAlign w:val="bottom"/>
          </w:tcPr>
          <w:p>
            <w:pPr>
              <w:spacing w:after="0"/>
              <w:rPr>
                <w:sz w:val="16"/>
                <w:szCs w:val="16"/>
                <w:color w:val="auto"/>
              </w:rPr>
            </w:pPr>
          </w:p>
        </w:tc>
      </w:tr>
      <w:tr>
        <w:trPr>
          <w:trHeight w:val="169"/>
        </w:trPr>
        <w:tc>
          <w:tcPr>
            <w:tcW w:w="8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8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Intangible assets with finite lives:</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8460" w:type="dxa"/>
            <w:vAlign w:val="bottom"/>
          </w:tcPr>
          <w:p>
            <w:pPr>
              <w:ind w:left="200"/>
              <w:spacing w:after="0" w:line="202" w:lineRule="exact"/>
              <w:rPr>
                <w:sz w:val="20"/>
                <w:szCs w:val="20"/>
                <w:color w:val="auto"/>
              </w:rPr>
            </w:pPr>
            <w:r>
              <w:rPr>
                <w:rFonts w:ascii="Arial" w:cs="Arial" w:eastAsia="Arial" w:hAnsi="Arial"/>
                <w:sz w:val="18"/>
                <w:szCs w:val="18"/>
                <w:color w:val="auto"/>
              </w:rPr>
              <w:t>Acquired technology</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3,201</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3,201</w:t>
            </w:r>
          </w:p>
        </w:tc>
        <w:tc>
          <w:tcPr>
            <w:tcW w:w="80" w:type="dxa"/>
            <w:vAlign w:val="bottom"/>
          </w:tcPr>
          <w:p>
            <w:pPr>
              <w:spacing w:after="0"/>
              <w:rPr>
                <w:sz w:val="17"/>
                <w:szCs w:val="17"/>
                <w:color w:val="auto"/>
              </w:rPr>
            </w:pPr>
          </w:p>
        </w:tc>
      </w:tr>
      <w:tr>
        <w:trPr>
          <w:trHeight w:val="203"/>
        </w:trPr>
        <w:tc>
          <w:tcPr>
            <w:tcW w:w="8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Customer relationship</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1,350</w:t>
            </w:r>
          </w:p>
        </w:tc>
        <w:tc>
          <w:tcPr>
            <w:tcW w:w="80" w:type="dxa"/>
            <w:vAlign w:val="bottom"/>
            <w:shd w:val="clear" w:color="auto" w:fill="CFF0FC"/>
          </w:tcPr>
          <w:p>
            <w:pPr>
              <w:spacing w:after="0"/>
              <w:rPr>
                <w:sz w:val="17"/>
                <w:szCs w:val="17"/>
                <w:color w:val="auto"/>
              </w:rPr>
            </w:pPr>
          </w:p>
        </w:tc>
      </w:tr>
      <w:tr>
        <w:trPr>
          <w:trHeight w:val="203"/>
        </w:trPr>
        <w:tc>
          <w:tcPr>
            <w:tcW w:w="8460" w:type="dxa"/>
            <w:vAlign w:val="bottom"/>
          </w:tcPr>
          <w:p>
            <w:pPr>
              <w:ind w:left="200"/>
              <w:spacing w:after="0" w:line="202" w:lineRule="exact"/>
              <w:rPr>
                <w:sz w:val="20"/>
                <w:szCs w:val="20"/>
                <w:color w:val="auto"/>
              </w:rPr>
            </w:pPr>
            <w:r>
              <w:rPr>
                <w:rFonts w:ascii="Arial" w:cs="Arial" w:eastAsia="Arial" w:hAnsi="Arial"/>
                <w:sz w:val="18"/>
                <w:szCs w:val="18"/>
                <w:color w:val="auto"/>
              </w:rPr>
              <w:t>Non-Competition agreement</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939</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939</w:t>
            </w:r>
          </w:p>
        </w:tc>
        <w:tc>
          <w:tcPr>
            <w:tcW w:w="80" w:type="dxa"/>
            <w:vAlign w:val="bottom"/>
          </w:tcPr>
          <w:p>
            <w:pPr>
              <w:spacing w:after="0"/>
              <w:rPr>
                <w:sz w:val="17"/>
                <w:szCs w:val="17"/>
                <w:color w:val="auto"/>
              </w:rPr>
            </w:pPr>
          </w:p>
        </w:tc>
      </w:tr>
      <w:tr>
        <w:trPr>
          <w:trHeight w:val="236"/>
        </w:trPr>
        <w:tc>
          <w:tcPr>
            <w:tcW w:w="84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5,490</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5,490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8460" w:type="dxa"/>
            <w:vAlign w:val="bottom"/>
          </w:tcPr>
          <w:p>
            <w:pPr>
              <w:ind w:left="20"/>
              <w:spacing w:after="0" w:line="183" w:lineRule="exact"/>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8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Acquired technology</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7"/>
                <w:szCs w:val="17"/>
                <w:color w:val="auto"/>
              </w:rPr>
            </w:pPr>
          </w:p>
        </w:tc>
      </w:tr>
      <w:tr>
        <w:trPr>
          <w:trHeight w:val="203"/>
        </w:trPr>
        <w:tc>
          <w:tcPr>
            <w:tcW w:w="8460" w:type="dxa"/>
            <w:vAlign w:val="bottom"/>
          </w:tcPr>
          <w:p>
            <w:pPr>
              <w:ind w:left="200"/>
              <w:spacing w:after="0" w:line="202" w:lineRule="exact"/>
              <w:rPr>
                <w:sz w:val="20"/>
                <w:szCs w:val="20"/>
                <w:color w:val="auto"/>
              </w:rPr>
            </w:pPr>
            <w:r>
              <w:rPr>
                <w:rFonts w:ascii="Arial" w:cs="Arial" w:eastAsia="Arial" w:hAnsi="Arial"/>
                <w:sz w:val="18"/>
                <w:szCs w:val="18"/>
                <w:color w:val="auto"/>
              </w:rPr>
              <w:t>Customer relationship</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1,186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80" w:type="dxa"/>
            <w:vAlign w:val="bottom"/>
          </w:tcPr>
          <w:p>
            <w:pPr>
              <w:spacing w:after="0"/>
              <w:rPr>
                <w:sz w:val="17"/>
                <w:szCs w:val="17"/>
                <w:color w:val="auto"/>
              </w:rPr>
            </w:pPr>
          </w:p>
        </w:tc>
      </w:tr>
      <w:tr>
        <w:trPr>
          <w:trHeight w:val="203"/>
        </w:trPr>
        <w:tc>
          <w:tcPr>
            <w:tcW w:w="84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Non-Competition agreement</w:t>
            </w: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346</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8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2,054</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295</w:t>
            </w:r>
          </w:p>
        </w:tc>
        <w:tc>
          <w:tcPr>
            <w:tcW w:w="80" w:type="dxa"/>
            <w:vAlign w:val="bottom"/>
          </w:tcPr>
          <w:p>
            <w:pPr>
              <w:spacing w:after="0"/>
              <w:rPr>
                <w:sz w:val="17"/>
                <w:szCs w:val="17"/>
                <w:color w:val="auto"/>
              </w:rPr>
            </w:pPr>
          </w:p>
        </w:tc>
      </w:tr>
      <w:tr>
        <w:trPr>
          <w:trHeight w:val="236"/>
        </w:trPr>
        <w:tc>
          <w:tcPr>
            <w:tcW w:w="8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3,436</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5,195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-839470</wp:posOffset>
            </wp:positionV>
            <wp:extent cx="431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-822325</wp:posOffset>
            </wp:positionV>
            <wp:extent cx="431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-839470</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-822325</wp:posOffset>
            </wp:positionV>
            <wp:extent cx="43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-296545</wp:posOffset>
            </wp:positionV>
            <wp:extent cx="431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-296545</wp:posOffset>
            </wp:positionV>
            <wp:extent cx="431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431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431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Amortization expense for intangible assets was $1.8 million and $0.3 million for the years ended December 31, 2021 and 2020, respectively. Amortization related to intangible assets for acquired technology was included in cost of revenues and amortization related to intangible assets for customer relationships was included in sales and marketing expenses in the Company’s consolidated statement of operations and comprehensive loss for the periods presented.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Future amortization that will be charged to expense over the remaining life of the intangible assets as of December 31, 2021 is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69"/>
        </w:trPr>
        <w:tc>
          <w:tcPr>
            <w:tcW w:w="9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4"/>
                <w:szCs w:val="14"/>
                <w:color w:val="auto"/>
              </w:rPr>
            </w:pPr>
          </w:p>
        </w:tc>
      </w:tr>
      <w:tr>
        <w:trPr>
          <w:trHeight w:val="196"/>
        </w:trPr>
        <w:tc>
          <w:tcPr>
            <w:tcW w:w="9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907</w:t>
            </w:r>
          </w:p>
        </w:tc>
        <w:tc>
          <w:tcPr>
            <w:tcW w:w="60" w:type="dxa"/>
            <w:vAlign w:val="bottom"/>
            <w:shd w:val="clear" w:color="auto" w:fill="CFF0FC"/>
          </w:tcPr>
          <w:p>
            <w:pPr>
              <w:spacing w:after="0"/>
              <w:rPr>
                <w:sz w:val="17"/>
                <w:szCs w:val="17"/>
                <w:color w:val="auto"/>
              </w:rPr>
            </w:pPr>
          </w:p>
        </w:tc>
      </w:tr>
      <w:tr>
        <w:trPr>
          <w:trHeight w:val="203"/>
        </w:trPr>
        <w:tc>
          <w:tcPr>
            <w:tcW w:w="9160" w:type="dxa"/>
            <w:vAlign w:val="bottom"/>
          </w:tcPr>
          <w:p>
            <w:pPr>
              <w:ind w:left="200"/>
              <w:spacing w:after="0" w:line="20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c>
          <w:tcPr>
            <w:tcW w:w="60" w:type="dxa"/>
            <w:vAlign w:val="bottom"/>
          </w:tcPr>
          <w:p>
            <w:pPr>
              <w:spacing w:after="0"/>
              <w:rPr>
                <w:sz w:val="17"/>
                <w:szCs w:val="17"/>
                <w:color w:val="auto"/>
              </w:rPr>
            </w:pPr>
          </w:p>
        </w:tc>
      </w:tr>
      <w:tr>
        <w:trPr>
          <w:trHeight w:val="203"/>
        </w:trPr>
        <w:tc>
          <w:tcPr>
            <w:tcW w:w="9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446</w:t>
            </w:r>
          </w:p>
        </w:tc>
        <w:tc>
          <w:tcPr>
            <w:tcW w:w="60" w:type="dxa"/>
            <w:vAlign w:val="bottom"/>
            <w:shd w:val="clear" w:color="auto" w:fill="CFF0FC"/>
          </w:tcPr>
          <w:p>
            <w:pPr>
              <w:spacing w:after="0"/>
              <w:rPr>
                <w:sz w:val="17"/>
                <w:szCs w:val="17"/>
                <w:color w:val="auto"/>
              </w:rPr>
            </w:pPr>
          </w:p>
        </w:tc>
      </w:tr>
      <w:tr>
        <w:trPr>
          <w:trHeight w:val="203"/>
        </w:trPr>
        <w:tc>
          <w:tcPr>
            <w:tcW w:w="9160" w:type="dxa"/>
            <w:vAlign w:val="bottom"/>
          </w:tcPr>
          <w:p>
            <w:pPr>
              <w:ind w:left="200"/>
              <w:spacing w:after="0" w:line="202" w:lineRule="exact"/>
              <w:rPr>
                <w:sz w:val="20"/>
                <w:szCs w:val="20"/>
                <w:color w:val="auto"/>
              </w:rPr>
            </w:pPr>
            <w:r>
              <w:rPr>
                <w:rFonts w:ascii="Arial" w:cs="Arial" w:eastAsia="Arial" w:hAnsi="Arial"/>
                <w:sz w:val="18"/>
                <w:szCs w:val="18"/>
                <w:color w:val="auto"/>
              </w:rPr>
              <w:t>2025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60" w:type="dxa"/>
            <w:vAlign w:val="bottom"/>
          </w:tcPr>
          <w:p>
            <w:pPr>
              <w:spacing w:after="0"/>
              <w:rPr>
                <w:sz w:val="17"/>
                <w:szCs w:val="17"/>
                <w:color w:val="auto"/>
              </w:rPr>
            </w:pPr>
          </w:p>
        </w:tc>
      </w:tr>
      <w:tr>
        <w:trPr>
          <w:trHeight w:val="203"/>
        </w:trPr>
        <w:tc>
          <w:tcPr>
            <w:tcW w:w="91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2026 and thereafter</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160" w:type="dxa"/>
            <w:vAlign w:val="bottom"/>
          </w:tcPr>
          <w:p>
            <w:pPr>
              <w:spacing w:after="0"/>
              <w:rPr>
                <w:sz w:val="17"/>
                <w:szCs w:val="17"/>
                <w:color w:val="auto"/>
              </w:rPr>
            </w:pPr>
          </w:p>
        </w:tc>
        <w:tc>
          <w:tcPr>
            <w:tcW w:w="4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3,436</w:t>
            </w:r>
          </w:p>
        </w:tc>
        <w:tc>
          <w:tcPr>
            <w:tcW w:w="60" w:type="dxa"/>
            <w:vAlign w:val="bottom"/>
          </w:tcPr>
          <w:p>
            <w:pPr>
              <w:spacing w:after="0"/>
              <w:rPr>
                <w:sz w:val="17"/>
                <w:szCs w:val="17"/>
                <w:color w:val="auto"/>
              </w:rPr>
            </w:pPr>
          </w:p>
        </w:tc>
      </w:tr>
      <w:tr>
        <w:trPr>
          <w:trHeight w:val="20"/>
        </w:trPr>
        <w:tc>
          <w:tcPr>
            <w:tcW w:w="9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-159385</wp:posOffset>
            </wp:positionV>
            <wp:extent cx="431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carrying value of the Company’s cash equivalents, accounts receivable, accounts payable, and accrued liabilities approximate fair value because of the relatively short-term nature of the underlying assets. The Company’s Private Placement Warrants are carried at fair value with changes in fair value recognized in earnings each period.</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Private Placement Warrants acquired in connection with the consummation of the Business Combination are accounted for as liabilities in accordance with ASC 815-40 and are presented within warrant liabilities in the accompanying consolidated balance sheets. The warrant liabilities are measured at fair value at inception and on a recurring basis, with changes in fair value presented within financial income (expense), net in the consolidated statement of operations and comprehensive loss. The Private Placement Warrants were valued using the Black-Scholes-Merton Model, which is considered to be a Level 3 fair value measurement. The primary unobservable input utilized in determining the fair value of the Private Placement Warrants is the expected volatility of the Company’s common stock. The expected volatility of the Company’s common stock was estimated to be approximately 67.8% as of December 31, 2021. For the year ended December 31, 2021, the Company had gains related to the revaluation of the Private Placement Warrants of $36.0 million.</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Prior to the Business Combination, Old Talkspace had issued warrants to purchase its common stock and its Series D preferred stock. In connection with the Business Combination, the warrants to purchase Old Talkspace’s common stock and its Series D preferred stock were exercised and converted into common shares of the Company during June 2021. As of December 31, 2020, there were 60,000 outstanding warrants to purchase the Old Talkspace’s common stock for a price of $0.44 per share and 50,881 outstanding warrants to purchase the Company’s preferred D stock for a price of $2.75 per share. The inputs related to Old Talkspace’s share prices prior to the Business Combination were determined based on management’s assumptions and based on the Option Pricing Model (“OPM”). The fair value of the underlying preferred share price was determined by the board of directors, considering among others, a third-party valuation. These inputs were considered to be a Level 3 measurement.</w:t>
      </w:r>
    </w:p>
    <w:p>
      <w:pPr>
        <w:spacing w:after="0" w:line="72"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The following table presents information about the Company’s liabilities that are measured at fair value on a recurring basis at December 31, 2021 and 2020 and indicates the fair value hierarchy of the valuation inputs the Company utilized to determine such fair value: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1"/>
              </w:rPr>
              <w:t>December 31, 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December 31, 2020</w:t>
            </w:r>
          </w:p>
        </w:tc>
        <w:tc>
          <w:tcPr>
            <w:tcW w:w="60" w:type="dxa"/>
            <w:vAlign w:val="bottom"/>
          </w:tcPr>
          <w:p>
            <w:pPr>
              <w:spacing w:after="0"/>
              <w:rPr>
                <w:sz w:val="16"/>
                <w:szCs w:val="16"/>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Liabilities:</w:t>
            </w: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Warrant liability – Private Placement Warrants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79"/>
              </w:rPr>
              <w:t>3</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4,070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Warrant liability – warrants to purchase Old Talkspace’s preferred D shares</w:t>
            </w:r>
          </w:p>
        </w:tc>
        <w:tc>
          <w:tcPr>
            <w:tcW w:w="1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79"/>
              </w:rPr>
              <w:t>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444</w:t>
            </w:r>
          </w:p>
        </w:tc>
        <w:tc>
          <w:tcPr>
            <w:tcW w:w="60" w:type="dxa"/>
            <w:vAlign w:val="bottom"/>
            <w:shd w:val="clear" w:color="auto" w:fill="CFF0FC"/>
          </w:tcPr>
          <w:p>
            <w:pPr>
              <w:spacing w:after="0"/>
              <w:rPr>
                <w:sz w:val="17"/>
                <w:szCs w:val="17"/>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warrant liabilities during the year ended December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Private</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Placement</w:t>
            </w:r>
          </w:p>
        </w:tc>
        <w:tc>
          <w:tcPr>
            <w:tcW w:w="1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Old Talkspace Warrants</w:t>
            </w: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23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ind w:right="4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Acquired in Business Combination</w:t>
            </w:r>
          </w:p>
        </w:tc>
        <w:tc>
          <w:tcPr>
            <w:tcW w:w="2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32,399</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4"/>
              </w:rPr>
              <w:t>Issued in connection with closing of the Forward Purchase Agreement</w:t>
            </w:r>
          </w:p>
        </w:tc>
        <w:tc>
          <w:tcPr>
            <w:tcW w:w="2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7,879</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Change in value</w:t>
            </w:r>
          </w:p>
        </w:tc>
        <w:tc>
          <w:tcPr>
            <w:tcW w:w="2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(36,208 )</w:t>
            </w:r>
          </w:p>
        </w:tc>
        <w:tc>
          <w:tcPr>
            <w:tcW w:w="6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Converted into equity</w:t>
            </w:r>
          </w:p>
        </w:tc>
        <w:tc>
          <w:tcPr>
            <w:tcW w:w="2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(609 )</w:t>
            </w:r>
          </w:p>
        </w:tc>
        <w:tc>
          <w:tcPr>
            <w:tcW w:w="0" w:type="dxa"/>
            <w:vAlign w:val="bottom"/>
          </w:tcPr>
          <w:p>
            <w:pPr>
              <w:spacing w:after="0"/>
              <w:rPr>
                <w:sz w:val="1"/>
                <w:szCs w:val="1"/>
                <w:color w:val="auto"/>
              </w:rPr>
            </w:pPr>
          </w:p>
        </w:tc>
      </w:tr>
      <w:tr>
        <w:trPr>
          <w:trHeight w:val="196"/>
        </w:trPr>
        <w:tc>
          <w:tcPr>
            <w:tcW w:w="53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Balance at December 31, 2021</w:t>
            </w:r>
          </w:p>
        </w:tc>
        <w:tc>
          <w:tcPr>
            <w:tcW w:w="23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4,070</w:t>
            </w:r>
          </w:p>
        </w:tc>
        <w:tc>
          <w:tcPr>
            <w:tcW w:w="280" w:type="dxa"/>
            <w:vAlign w:val="bottom"/>
            <w:tcBorders>
              <w:top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476"/>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360" w:type="dxa"/>
            <w:vAlign w:val="bottom"/>
            <w:vMerge w:val="restart"/>
          </w:tcPr>
          <w:p>
            <w:pPr>
              <w:jc w:val="right"/>
              <w:ind w:right="1850"/>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0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-502285</wp:posOffset>
            </wp:positionV>
            <wp:extent cx="6032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-502285</wp:posOffset>
            </wp:positionV>
            <wp:extent cx="5969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connection with the consummation of the Business Combination, the Company also acquired Public Warrants from HEC and also issued equity warrants to certain consultants. The Company determined these warrants met the criteria to be classified as equity in accordance with ASC 815-40. The Company valued these warrants using the instrument’s publicly listed trading price on the date of acquisition or issuance, where applicable, and included in additional paid-in capital within stockholder’s deficit. This is considered to be a non-recurring Level 1 measurement due to the use of an observable market quote in an active market.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CONTINGENT LIABILITIES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does not currently have any leases with terms in excess of 12 months. Since terminating our prior office lease in New York City in August 2020, we currently have no permanent physical office space and the majority of our employees are working remotely. In August 2021, the Company entered into a temporary short-term co-working space agreement in New York City which expires in February 2022 and will not be renewed.</w:t>
      </w:r>
    </w:p>
    <w:p>
      <w:pPr>
        <w:spacing w:after="0" w:line="3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have limited operations outside the United States. As of December 31, 2021, we have one foreign subsidiary located in Israel which leases its operating facilities under a non-cancelable short-term operating lease agreement, which expired in July, 2021 and renews monthly on the first day of every month.</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elected the short-term lease recognition exemption for all leases with a term shorter than 12 months. This means that for those leases, the Company does not recognize ROU assets or lease liabilities, including not recognizing ROU assets or lease liabilities for existing short-term leases of those assets in transition, but recognizes lease expenses over the lease term on a straight-line basis. The Company also elected the practical expedient to not separate lease and non-lease components for all of the Company’s leases.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Rent expenses under these operating leases for the years ended December 31, 2021, 2020 and 2019 were $0.1 million, $0.5 million and $0.6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and may in the future be involved in various legal proceedings arising from the normal course of business activities. Although the results of litigation and claims cannot be predicted with certainty, currently, the Company believes that the likelihood of any material adverse impact on the Company’s consolidated results of operations, cash flows or our financial position for any such litigation or claims is remote. Regardless of the outcome, litigation can have an adverse impact on the Company because of the costs to defend lawsuits, diversion of management resources and other factors.</w:t>
      </w:r>
    </w:p>
    <w:p>
      <w:pPr>
        <w:spacing w:after="0" w:line="4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Between January 7, 2022, and January 31, 2022, the Company and certain of its current and former officers and directors were named as defendants in two putative securities class action complaints in the United States District Court for the Southern District of New York (the “Securities Actions”): (1) Baron v. Talkspace et al., No. 22-cv-00163 (S.D.N.Y.) and (2) Valdez v. Talkspace et al., No. 22-cv-00840 (S.D.N.Y.). The Securities Actions both asserted violations of sections 14(a) and 20(a) of the Securities Exchange Act of 1934 and SEC Rule 14a-9 promulgated thereunder. The Valdez action asserted additional claims under sections 10(b) of the Exchange Act and Rule 10b-5 promulgated under the Exchange Act. The Securities Actions generally relate to public disclosures and statements by the Company in connection with the Business Combination that plaintiffs allege contained material misstatements and omissions regarding the Company’s business, financial conditions, and growth prospects. The complaints seek, among other things, damages on behalf of all members of the proposed class.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February 10, 2021, two purported shareholders of HEC filed actions against HEC and the members of HEC’s board of directors relating to the Business Combination. In each case, the shareholders allege a variety of disclosure deficiencies in HEC’s proxy statement/prospectus and seek disclosures of additional information. The alleged omissions generally relate to (i) certain financial projections; (ii) certain valuation analyses performed by HEC; and</w:t>
      </w:r>
    </w:p>
    <w:p>
      <w:pPr>
        <w:jc w:val="both"/>
        <w:ind w:firstLine="8"/>
        <w:spacing w:after="0" w:line="239" w:lineRule="auto"/>
        <w:tabs>
          <w:tab w:leader="none" w:pos="3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alleged conflicts of interest. Plaintiffs sought to enjoin the shareholder vote on the Business Combination unless and until HEC disclosed the allegedly omitted material information summarized above. The plaintiffs also seek damages and attorneys’ fees. On June 29, 2021, one of the plaintiffs dismissed their complaint; the other remains pending.</w:t>
      </w:r>
    </w:p>
    <w:p>
      <w:pPr>
        <w:spacing w:after="0" w:line="8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cannot predict the outcome of the lawsuits, nor can we predict the amount of time and expense that will be required to resolve the lawsuits and demand letter. We believe that the lawsuits and demand letter are without merit and intends to vigorously defend against them.</w:t>
      </w: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to the foregoing, from time-to-time, the Company is party to various legal proceedings, claims and litigation that arise in the normal course of business. In the opinion of management, the ultimate outcome of these matters will not have a material adverse effect on the Company’s financial position, results of operations or cash flows. Accruals for loss contingencies are recorded when a loss is probable, and the amount of such loss can be reasonably estimated.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BORROWING ARRANGEMENTS</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15, 2021, Talkspace entered into a credit and security agreement (the “Credit Agreement”) by and among, Talkspace and Talkspace Network LLC, as borrowers (each and collectively, jointly and severally, “Borrower”) and JPMorgan Chase Bank, N.A. and the other loan parties party thereto to provide Borrower with a term loan of up to $15.0 million, which was available to be drawn in a period of twelve months. The term loan will be required to be repaid within thirty-six months, beginning twelve months from the effective date of the Credit Agreement. In addition, under the Credit Agreement, the Borrower was provided with a credit line of up to $5.0 million, available for a period of two years from the effective date of the Credit Agreement. Under the Credit Agreement, Borrower was required to maintain certain covenants as detailed in the agreement. In May 2021, the Company borrowed $6.0 million under the Credit Agreement to provide for additional liquidity. This amount was repaid in June 2021. In June 2021, the Company terminated the Credit Agreement.</w:t>
      </w:r>
    </w:p>
    <w:p>
      <w:pPr>
        <w:spacing w:after="0" w:line="86"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In accordance with the Credit Agreement entered into on March 15, 2021, the Company issued a warrant (the “Warrant”) to JPMorgan Chase Bank, N.A. to purchase 114,454 shares at an exercise price of $0.01 per share. In accordance with the terms of the Warrant, the Warrant was cancelled during June 2021.</w:t>
      </w:r>
    </w:p>
    <w:p>
      <w:pPr>
        <w:spacing w:after="0" w:line="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year ended December 31, 2021, the Company recorded debt issuance costs of $0.2 million, which comprised of $0.1 million in upfront fees and $0.1 million for the issued warrant. These costs were fully amortized through the termination of the Credit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CAPITAL STOCK</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authorized capital stock consists of (a) 1,000,000,000 shares of common stock, par value $0.0001 per share; and (b) 100,000,000 shares of preferred stock, par value $0.0001 per share. As of December 31, 2021, there were 152,862,447 shares of common stock issued and outstanding. As of December 31, 2021, there were no shares of preferred stock issued or outstanding.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Prior to the Business Combination, Old Talkspace’s convertible preferred stock consisted of the following:</w:t>
      </w:r>
    </w:p>
    <w:p>
      <w:pPr>
        <w:spacing w:after="0" w:line="244"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Issue</w:t>
            </w:r>
          </w:p>
        </w:tc>
        <w:tc>
          <w:tcPr>
            <w:tcW w:w="200" w:type="dxa"/>
            <w:vAlign w:val="bottom"/>
          </w:tcPr>
          <w:p>
            <w:pPr>
              <w:spacing w:after="0"/>
              <w:rPr>
                <w:sz w:val="11"/>
                <w:szCs w:val="11"/>
                <w:color w:val="auto"/>
              </w:rPr>
            </w:pPr>
          </w:p>
        </w:tc>
        <w:tc>
          <w:tcPr>
            <w:tcW w:w="140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Issued and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5"/>
              <w:spacing w:after="0" w:line="14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w w:val="95"/>
              </w:rPr>
              <w:t>Liquidation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right"/>
              <w:ind w:right="199"/>
              <w:spacing w:after="0" w:line="189" w:lineRule="exact"/>
              <w:rPr>
                <w:sz w:val="20"/>
                <w:szCs w:val="20"/>
                <w:color w:val="auto"/>
              </w:rPr>
            </w:pPr>
            <w:r>
              <w:rPr>
                <w:rFonts w:ascii="Arial" w:cs="Arial" w:eastAsia="Arial" w:hAnsi="Arial"/>
                <w:sz w:val="14"/>
                <w:szCs w:val="14"/>
                <w:b w:val="1"/>
                <w:bCs w:val="1"/>
                <w:color w:val="auto"/>
              </w:rPr>
              <w:t xml:space="preserve">Authorized </w:t>
            </w:r>
            <w:r>
              <w:rPr>
                <w:rFonts w:ascii="Arial" w:cs="Arial" w:eastAsia="Arial" w:hAnsi="Arial"/>
                <w:sz w:val="19"/>
                <w:szCs w:val="19"/>
                <w:b w:val="1"/>
                <w:bCs w:val="1"/>
                <w:color w:val="auto"/>
                <w:vertAlign w:val="superscript"/>
              </w:rPr>
              <w:t>(1)</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9"/>
              </w:rPr>
              <w:t>Outstanding</w:t>
            </w:r>
            <w:r>
              <w:rPr>
                <w:rFonts w:ascii="Arial" w:cs="Arial" w:eastAsia="Arial" w:hAnsi="Arial"/>
                <w:sz w:val="19"/>
                <w:szCs w:val="19"/>
                <w:b w:val="1"/>
                <w:bCs w:val="1"/>
                <w:color w:val="auto"/>
                <w:w w:val="89"/>
                <w:vertAlign w:val="superscript"/>
              </w:rPr>
              <w:t>(1)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Preference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Seed</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0.3275</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3,895,772</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3,895,771</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Seed-1</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0.3036</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8,860,187</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8,860,185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2,340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Seed-2</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0.3624</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3,755,433</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3,755,433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Series A</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0.5842</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18,163,165</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18,163,165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9,316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9,356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B</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1.0413</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16,718,570</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16,337,364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14,934</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Series C</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1.5839</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22,412,141</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22,412,141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31,226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31,300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D</w:t>
            </w:r>
          </w:p>
        </w:tc>
        <w:tc>
          <w:tcPr>
            <w:tcW w:w="3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2.7515</w:t>
            </w:r>
          </w:p>
        </w:tc>
        <w:tc>
          <w:tcPr>
            <w:tcW w:w="2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21,903,878</w:t>
            </w: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21,158,491</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51,204</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51,332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95,709,146</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94,582,550</w:t>
            </w:r>
          </w:p>
        </w:tc>
        <w:tc>
          <w:tcPr>
            <w:tcW w:w="4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111,282</w:t>
            </w:r>
          </w:p>
        </w:tc>
        <w:tc>
          <w:tcPr>
            <w:tcW w:w="3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111,685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-159385</wp:posOffset>
            </wp:positionV>
            <wp:extent cx="5143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-159385</wp:posOffset>
            </wp:positionV>
            <wp:extent cx="431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-159385</wp:posOffset>
            </wp:positionV>
            <wp:extent cx="431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10" w:lineRule="exact"/>
        <w:rPr>
          <w:sz w:val="20"/>
          <w:szCs w:val="20"/>
          <w:color w:val="auto"/>
        </w:rPr>
      </w:pPr>
    </w:p>
    <w:p>
      <w:pPr>
        <w:ind w:left="480" w:right="40" w:hanging="472"/>
        <w:spacing w:after="0" w:line="259" w:lineRule="auto"/>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Shares authorized and shares issued and outstanding have been adjusted to reflect the exchange of Old Talkspace’s common stock for Talkspace’s common stock at an exchange ratio of approximately 1.134140 in June 2021 as a result of the Business Combination. See Note 3, “Business Combination” in the notes to the consolidated financial statements for further details.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terms for the preferred stock provided that each share shall automatically be converted into shares of common stock at the then effective conversion price for such share immediately upon either (i) the closing of the sale of shares of common stock to the public at a price of at least $4.8151 per share (before deduction of the underwriting discount and commissions and subject to appropriate adjustments), in a firm-commitment underwritten public offering pursuant to an effective registration statement under the Securities Act of 1933, as amended, resulting in at least $50.0 million of proceeds, before deduction of the underwriting discount and commissions, to the Company, (ii) the closing of the sale of shares of common stock to the public in a firm commitment underwritten public offering pursuant to an effective registration statement under the Securities Act of 1933, as amended, that is approved by the holders of at least a majority of the then outstanding shares of senior preferred stock, which shall include the holders of 55% of the outstanding shares of series D preferred stock, or (iii) the affirmative vote or written consent of the holders of at least a majority of the then outstanding shares of senior preferred stock, voting together as a single class and on an as-converted basis, which (A) shall include the holders of a majority of the outstanding shares of each of the series C preferred stock and series D preferred stock, if such conversion is not made in connection with a deemed liquidation event, and (B) shall include the holders of at least 70% of the outstanding shares of series C preferred stock and the holders of 55% of the outstanding shares of series D preferred stock, if such conversion is made in connection with a deemed liquidation event.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Business Combination, all of the shares of preferred stock were converted into common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8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As of December 31,</w:t>
            </w:r>
          </w:p>
        </w:tc>
      </w:tr>
      <w:tr>
        <w:trPr>
          <w:trHeight w:val="169"/>
        </w:trPr>
        <w:tc>
          <w:tcPr>
            <w:tcW w:w="85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8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926</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263</w:t>
            </w:r>
          </w:p>
        </w:tc>
        <w:tc>
          <w:tcPr>
            <w:tcW w:w="80" w:type="dxa"/>
            <w:vAlign w:val="bottom"/>
            <w:shd w:val="clear" w:color="auto" w:fill="CFF0FC"/>
          </w:tcPr>
          <w:p>
            <w:pPr>
              <w:spacing w:after="0"/>
              <w:rPr>
                <w:sz w:val="17"/>
                <w:szCs w:val="17"/>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(302 )</w:t>
            </w:r>
          </w:p>
        </w:tc>
        <w:tc>
          <w:tcPr>
            <w:tcW w:w="26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(88 )</w:t>
            </w:r>
          </w:p>
        </w:tc>
      </w:tr>
      <w:tr>
        <w:trPr>
          <w:trHeight w:val="236"/>
        </w:trPr>
        <w:tc>
          <w:tcPr>
            <w:tcW w:w="85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624</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-24765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596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expense, included in general and administrative expense in the consolidated statement of operations and comprehensive loss, was $0.2 million, $0.1 million and $0.1 million for the years ended December 31, 2021, 2020 and 2019,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COMPENSATION</w:t>
      </w:r>
    </w:p>
    <w:p>
      <w:pPr>
        <w:spacing w:after="0" w:line="121"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Company adopted the 2014 Stock Incentive Plan (the “2014 Plan”) pursuant to which incentive and nonqualified stock options and stock purchase rights to purchase the Company’s common stock may be granted to officers, employees, directors, consultants and service providers.</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connection with the closing of the Business Combination, the Company adopted the 2021 Incentive Award Plan (the “2021 Plan”) under which the Company may grant cash and equity incentive awards to eligible service providers in order to attract, motivate and retain the talent. In connection with the effectiveness of the 2021 Plan, no further awards will be granted under the 2014 Plan. Employees, consultants and directors of the Company, and employees and consultants of its subsidiaries, are eligible to receive awards under the 2021 Plan.</w:t>
      </w:r>
    </w:p>
    <w:p>
      <w:pPr>
        <w:spacing w:after="0" w:line="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2021 Plan is administered by the Company’s board of directors, which may delegate its duties and responsibilities to one or more committees of the Company’s directors and/or officers (referred to collectively as the “plan administrator”), subject to the limitations imposed under the 2021 Plan, Section 16 of the Securities Exchange Act of 1934, as amended, stock exchange rules and other applicable laws. The plan administrator has the authority to take all actions and make all determinations under the 2021 Plan, to interpret the 2021 Plan and award agreements and to adopt, amend and repeal rules for the administration of the 2021 Plan as it deems advisable. The plan administrator also has the authority to determine which eligible service providers receive awards, grant awards and set the terms and conditions of all awards under the 2021 Plan, including any vesting and vesting acceleration provisions, subject to the conditions and limitations in the 2021 Plan.</w:t>
      </w:r>
    </w:p>
    <w:p>
      <w:pPr>
        <w:spacing w:after="0" w:line="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 aggregate of 15,875,574 shares of Talkspace common stock were available for issuance under the 2021 Plan. The maximum number of shares of Talkspace common stock that may be issued pursuant to the exercise of incentive stock options granted under the 2021 Plan is 100,000,000. The aggregate share limit under the 2021 Plan is subject to an annual increase on the first day of each calendar year beginning January 1, 2022 and ending on and including January 1, 2031 by a number of shares equal to the lesser of (i) a number equal to 5% of the aggregate number of shares of Talkspace common stock outstanding on the final day of the immediately preceding calendar year and (ii) such smaller number of shares of Talkspace common stock as is determined by the Talkspace board of directors. As of December 31, 2021, the number of shares available under the 2021 Plan but not yet awarded, was 8,806,534.</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closing of the Business Combination, the Company also adopted the 2021 Employee Stock Purchase Plan (the “2021 ESPP”) under which employees of Talkspace and its participating subsidiaries are provided with the opportunity to purchase Talkspace common stock at a discount through accumulated payroll deductions during successive offering periods.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2021 ESPP is administered by the compensation committee of the Company’s board of directors (referred to collectively as the “plan administrator”). The plan administrator has the authority to take all actions and make all determinations under the 2021 ESPP, to interpret the 2021 ESPP and to adopt, amend and repeal rules for the administration of the 2021 ESPP as it deems advisable.</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2021, an aggregate of 3,045,115 shares of Talkspace common stock were available for issuance under the 2021 ESPP. In addition, the number of shares of common stock available for issuance under the ESPP will be annually increased on January 1 of each calendar year beginning in 2022 and ending in 2031, by an amount equal to the lesser of (i) 1% of the aggregate number of shares of Talkspace common stock outstanding on the final day of the immediately preceding calendar year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(ii) such smaller number of shares of Talkspace common stock as determined by the Talkspace board of directors. The maximum number of shares of Talkspace common stock that may be granted under the 2021 ESPP is 50,000,000.</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All stock-based awards are measured based on the grant date fair value and are generally recognized on a straight-line basis in the Company’s consolidated statement of operations and comprehensive loss over the period during which the employee is required to perform services in exchange for the award (generally requiring a four-year vesting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Stock options issued under the Plans generally vest over a four-year period and are exercisable a maximum period of ten years. A summary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stock option activity under the 2014 Plan and the 2021 Plan for the year ended December 31, 2021 is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33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 xml:space="preserve">Year ended December 31, 2021 </w:t>
            </w:r>
            <w:r>
              <w:rPr>
                <w:rFonts w:ascii="Arial" w:cs="Arial" w:eastAsia="Arial" w:hAnsi="Arial"/>
                <w:sz w:val="19"/>
                <w:szCs w:val="19"/>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center"/>
              <w:ind w:left="341"/>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8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1160" w:type="dxa"/>
            <w:vAlign w:val="bottom"/>
          </w:tcPr>
          <w:p>
            <w:pPr>
              <w:jc w:val="center"/>
              <w:ind w:left="321"/>
              <w:spacing w:after="0" w:line="14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160" w:type="dxa"/>
            <w:vAlign w:val="bottom"/>
          </w:tcPr>
          <w:p>
            <w:pPr>
              <w:jc w:val="center"/>
              <w:ind w:left="321"/>
              <w:spacing w:after="0" w:line="153" w:lineRule="exact"/>
              <w:rPr>
                <w:sz w:val="20"/>
                <w:szCs w:val="20"/>
                <w:color w:val="auto"/>
              </w:rPr>
            </w:pPr>
            <w:r>
              <w:rPr>
                <w:rFonts w:ascii="Arial" w:cs="Arial" w:eastAsia="Arial" w:hAnsi="Arial"/>
                <w:sz w:val="14"/>
                <w:szCs w:val="14"/>
                <w:b w:val="1"/>
                <w:bCs w:val="1"/>
                <w:color w:val="auto"/>
                <w:w w:val="85"/>
              </w:rPr>
              <w:t>exercise</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ind w:right="80"/>
              <w:spacing w:after="0" w:line="153" w:lineRule="exact"/>
              <w:rPr>
                <w:sz w:val="20"/>
                <w:szCs w:val="20"/>
                <w:color w:val="auto"/>
              </w:rPr>
            </w:pPr>
            <w:r>
              <w:rPr>
                <w:rFonts w:ascii="Arial" w:cs="Arial" w:eastAsia="Arial" w:hAnsi="Arial"/>
                <w:sz w:val="13"/>
                <w:szCs w:val="13"/>
                <w:b w:val="1"/>
                <w:bCs w:val="1"/>
                <w:color w:val="auto"/>
                <w:w w:val="99"/>
              </w:rPr>
              <w:t xml:space="preserve">intrinsic value </w:t>
            </w:r>
            <w:r>
              <w:rPr>
                <w:rFonts w:ascii="Arial" w:cs="Arial" w:eastAsia="Arial" w:hAnsi="Arial"/>
                <w:sz w:val="17"/>
                <w:szCs w:val="17"/>
                <w:b w:val="1"/>
                <w:bCs w:val="1"/>
                <w:color w:val="auto"/>
                <w:w w:val="99"/>
                <w:vertAlign w:val="superscript"/>
              </w:rPr>
              <w:t>(2)</w:t>
            </w:r>
            <w:r>
              <w:rPr>
                <w:rFonts w:ascii="Arial" w:cs="Arial" w:eastAsia="Arial" w:hAnsi="Arial"/>
                <w:sz w:val="13"/>
                <w:szCs w:val="13"/>
                <w:b w:val="1"/>
                <w:bCs w:val="1"/>
                <w:color w:val="auto"/>
                <w:w w:val="99"/>
              </w:rPr>
              <w:t xml:space="preserve"> </w:t>
            </w:r>
            <w:r>
              <w:rPr>
                <w:rFonts w:ascii="Arial" w:cs="Arial" w:eastAsia="Arial" w:hAnsi="Arial"/>
                <w:sz w:val="13"/>
                <w:szCs w:val="13"/>
                <w:i w:val="1"/>
                <w:iCs w:val="1"/>
                <w:color w:val="auto"/>
                <w:w w:val="99"/>
              </w:rPr>
              <w:t>(in</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options</w:t>
            </w:r>
          </w:p>
        </w:tc>
        <w:tc>
          <w:tcPr>
            <w:tcW w:w="1160" w:type="dxa"/>
            <w:vAlign w:val="bottom"/>
          </w:tcPr>
          <w:p>
            <w:pPr>
              <w:jc w:val="center"/>
              <w:ind w:left="321"/>
              <w:spacing w:after="0"/>
              <w:rPr>
                <w:sz w:val="20"/>
                <w:szCs w:val="20"/>
                <w:color w:val="auto"/>
              </w:rPr>
            </w:pPr>
            <w:r>
              <w:rPr>
                <w:rFonts w:ascii="Arial" w:cs="Arial" w:eastAsia="Arial" w:hAnsi="Arial"/>
                <w:sz w:val="14"/>
                <w:szCs w:val="14"/>
                <w:b w:val="1"/>
                <w:bCs w:val="1"/>
                <w:color w:val="auto"/>
                <w:w w:val="95"/>
              </w:rPr>
              <w:t>price</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40"/>
              <w:spacing w:after="0"/>
              <w:rPr>
                <w:sz w:val="20"/>
                <w:szCs w:val="20"/>
                <w:color w:val="auto"/>
              </w:rPr>
            </w:pPr>
            <w:r>
              <w:rPr>
                <w:rFonts w:ascii="Arial" w:cs="Arial" w:eastAsia="Arial" w:hAnsi="Arial"/>
                <w:sz w:val="14"/>
                <w:szCs w:val="14"/>
                <w:i w:val="1"/>
                <w:iCs w:val="1"/>
                <w:color w:val="auto"/>
                <w:w w:val="89"/>
              </w:rPr>
              <w:t>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20,525,332</w:t>
            </w: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ind w:right="981"/>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0.71</w:t>
            </w:r>
          </w:p>
        </w:tc>
        <w:tc>
          <w:tcPr>
            <w:tcW w:w="18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6.76</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153,934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7,983,650</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(3,627,103 )</w:t>
            </w:r>
          </w:p>
        </w:tc>
        <w:tc>
          <w:tcPr>
            <w:tcW w:w="11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0.58</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(5,387,677 )</w:t>
            </w:r>
          </w:p>
        </w:tc>
        <w:tc>
          <w:tcPr>
            <w:tcW w:w="11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3.82</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at end of year</w:t>
            </w: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19,494,202</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ind w:right="981"/>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w:t>
            </w:r>
          </w:p>
        </w:tc>
        <w:tc>
          <w:tcPr>
            <w:tcW w:w="1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6.88</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19,214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line="196" w:lineRule="exact"/>
              <w:rPr>
                <w:sz w:val="20"/>
                <w:szCs w:val="20"/>
                <w:color w:val="auto"/>
              </w:rPr>
            </w:pPr>
            <w:r>
              <w:rPr>
                <w:rFonts w:ascii="Arial" w:cs="Arial" w:eastAsia="Arial" w:hAnsi="Arial"/>
                <w:sz w:val="18"/>
                <w:szCs w:val="18"/>
                <w:color w:val="auto"/>
              </w:rPr>
              <w:t>Exercisable at end of year</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14,496,437</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ind w:right="981"/>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0.84</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6.09</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-142240</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-142240</wp:posOffset>
            </wp:positionV>
            <wp:extent cx="431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-142240</wp:posOffset>
            </wp:positionV>
            <wp:extent cx="431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-142240</wp:posOffset>
            </wp:positionV>
            <wp:extent cx="431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42" w:lineRule="exact"/>
        <w:rPr>
          <w:sz w:val="20"/>
          <w:szCs w:val="20"/>
          <w:color w:val="auto"/>
        </w:rPr>
      </w:pPr>
    </w:p>
    <w:p>
      <w:pPr>
        <w:jc w:val="both"/>
        <w:ind w:left="480" w:hanging="472"/>
        <w:spacing w:after="0" w:line="259" w:lineRule="auto"/>
        <w:tabs>
          <w:tab w:leader="none" w:pos="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Number of options and the weighted average exercise price have been adjusted to reflect the exchange of Old Talkspace’s common stock for Talkspace’s common stock at an exchange ratio of approximately 1.134140 in June 2021 as a result of the Business Combination. See Note 3, “Business Combination” in the notes to the consolidated financial statements for further details.</w:t>
      </w:r>
    </w:p>
    <w:p>
      <w:pPr>
        <w:spacing w:after="0" w:line="8" w:lineRule="exact"/>
        <w:rPr>
          <w:rFonts w:ascii="Arial" w:cs="Arial" w:eastAsia="Arial" w:hAnsi="Arial"/>
          <w:sz w:val="15"/>
          <w:szCs w:val="15"/>
          <w:color w:val="auto"/>
        </w:rPr>
      </w:pPr>
    </w:p>
    <w:p>
      <w:pPr>
        <w:ind w:left="480" w:hanging="472"/>
        <w:spacing w:after="0" w:line="274" w:lineRule="auto"/>
        <w:tabs>
          <w:tab w:leader="none" w:pos="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aggregate intrinsic value of options outstanding at end of the year and options exercisable at end of the year does not include 4,459,905 and 515,313 options that are out of the money, respectively.</w:t>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weighted average grant-date fair value of stock options granted to employees during the years ended December 31, 2021 and 2020 was $3.81 and $1.92 per share, respectively.</w:t>
      </w:r>
    </w:p>
    <w:p>
      <w:pPr>
        <w:spacing w:after="0" w:line="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fair value for options granted for the years ended December 31, 2021, 2020 and 2019 was estimated on the date of grant using a Black-Scholes-Merton options pricing model with the following weighted average assumptions:</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4"/>
                <w:szCs w:val="24"/>
                <w:color w:val="auto"/>
                <w:vertAlign w:val="superscript"/>
              </w:rPr>
              <w:t>(1)</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94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9"/>
              </w:rPr>
              <w:t>2020</w:t>
            </w:r>
          </w:p>
        </w:tc>
        <w:tc>
          <w:tcPr>
            <w:tcW w:w="194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55"/>
        </w:trPr>
        <w:tc>
          <w:tcPr>
            <w:tcW w:w="4280" w:type="dxa"/>
            <w:vAlign w:val="bottom"/>
            <w:vMerge w:val="continue"/>
          </w:tcPr>
          <w:p>
            <w:pPr>
              <w:spacing w:after="0"/>
              <w:rPr>
                <w:sz w:val="13"/>
                <w:szCs w:val="13"/>
                <w:color w:val="auto"/>
              </w:rPr>
            </w:pPr>
          </w:p>
        </w:tc>
        <w:tc>
          <w:tcPr>
            <w:tcW w:w="18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3"/>
                <w:szCs w:val="13"/>
                <w:color w:val="auto"/>
              </w:rPr>
            </w:pPr>
          </w:p>
        </w:tc>
        <w:tc>
          <w:tcPr>
            <w:tcW w:w="18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3"/>
                <w:szCs w:val="13"/>
                <w:color w:val="auto"/>
              </w:rPr>
            </w:pPr>
          </w:p>
        </w:tc>
        <w:tc>
          <w:tcPr>
            <w:tcW w:w="18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Expected volatility </w:t>
            </w:r>
            <w:r>
              <w:rPr>
                <w:rFonts w:ascii="Arial" w:cs="Arial" w:eastAsia="Arial" w:hAnsi="Arial"/>
                <w:sz w:val="23"/>
                <w:szCs w:val="23"/>
                <w:color w:val="auto"/>
                <w:vertAlign w:val="superscript"/>
              </w:rPr>
              <w:t>(2)</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92"/>
              </w:rPr>
              <w:t>65.00%-75.23%</w:t>
            </w:r>
          </w:p>
        </w:tc>
        <w:tc>
          <w:tcPr>
            <w:tcW w:w="1940" w:type="dxa"/>
            <w:vAlign w:val="bottom"/>
            <w:gridSpan w:val="2"/>
          </w:tcPr>
          <w:p>
            <w:pPr>
              <w:jc w:val="center"/>
              <w:ind w:left="15"/>
              <w:spacing w:after="0" w:line="202" w:lineRule="exact"/>
              <w:rPr>
                <w:sz w:val="20"/>
                <w:szCs w:val="20"/>
                <w:color w:val="auto"/>
              </w:rPr>
            </w:pPr>
            <w:r>
              <w:rPr>
                <w:rFonts w:ascii="Arial" w:cs="Arial" w:eastAsia="Arial" w:hAnsi="Arial"/>
                <w:sz w:val="18"/>
                <w:szCs w:val="18"/>
                <w:color w:val="auto"/>
                <w:w w:val="90"/>
              </w:rPr>
              <w:t>53.96%-66.55%</w:t>
            </w:r>
          </w:p>
        </w:tc>
        <w:tc>
          <w:tcPr>
            <w:tcW w:w="1940" w:type="dxa"/>
            <w:vAlign w:val="bottom"/>
            <w:gridSpan w:val="2"/>
          </w:tcPr>
          <w:p>
            <w:pPr>
              <w:jc w:val="center"/>
              <w:ind w:left="15"/>
              <w:spacing w:after="0" w:line="202" w:lineRule="exact"/>
              <w:rPr>
                <w:sz w:val="20"/>
                <w:szCs w:val="20"/>
                <w:color w:val="auto"/>
              </w:rPr>
            </w:pPr>
            <w:r>
              <w:rPr>
                <w:rFonts w:ascii="Arial" w:cs="Arial" w:eastAsia="Arial" w:hAnsi="Arial"/>
                <w:sz w:val="18"/>
                <w:szCs w:val="18"/>
                <w:color w:val="auto"/>
                <w:w w:val="90"/>
              </w:rPr>
              <w:t>59.81%-64.61%</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Risk-free interest rate </w:t>
            </w:r>
            <w:r>
              <w:rPr>
                <w:rFonts w:ascii="Arial" w:cs="Arial" w:eastAsia="Arial" w:hAnsi="Arial"/>
                <w:sz w:val="23"/>
                <w:szCs w:val="23"/>
                <w:color w:val="auto"/>
                <w:vertAlign w:val="superscript"/>
              </w:rPr>
              <w:t>(3)</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90"/>
              </w:rPr>
              <w:t>0.66%-1.39%</w:t>
            </w:r>
          </w:p>
        </w:tc>
        <w:tc>
          <w:tcPr>
            <w:tcW w:w="1940" w:type="dxa"/>
            <w:vAlign w:val="bottom"/>
            <w:gridSpan w:val="2"/>
          </w:tcPr>
          <w:p>
            <w:pPr>
              <w:jc w:val="center"/>
              <w:ind w:left="15"/>
              <w:spacing w:after="0" w:line="202" w:lineRule="exact"/>
              <w:rPr>
                <w:sz w:val="20"/>
                <w:szCs w:val="20"/>
                <w:color w:val="auto"/>
              </w:rPr>
            </w:pPr>
            <w:r>
              <w:rPr>
                <w:rFonts w:ascii="Arial" w:cs="Arial" w:eastAsia="Arial" w:hAnsi="Arial"/>
                <w:sz w:val="18"/>
                <w:szCs w:val="18"/>
                <w:color w:val="auto"/>
                <w:w w:val="92"/>
              </w:rPr>
              <w:t>0.25%-1.45%</w:t>
            </w:r>
          </w:p>
        </w:tc>
        <w:tc>
          <w:tcPr>
            <w:tcW w:w="1940" w:type="dxa"/>
            <w:vAlign w:val="bottom"/>
            <w:gridSpan w:val="2"/>
          </w:tcPr>
          <w:p>
            <w:pPr>
              <w:jc w:val="center"/>
              <w:ind w:left="15"/>
              <w:spacing w:after="0" w:line="202" w:lineRule="exact"/>
              <w:rPr>
                <w:sz w:val="20"/>
                <w:szCs w:val="20"/>
                <w:color w:val="auto"/>
              </w:rPr>
            </w:pPr>
            <w:r>
              <w:rPr>
                <w:rFonts w:ascii="Arial" w:cs="Arial" w:eastAsia="Arial" w:hAnsi="Arial"/>
                <w:sz w:val="18"/>
                <w:szCs w:val="18"/>
                <w:color w:val="auto"/>
                <w:w w:val="92"/>
              </w:rPr>
              <w:t>1.59%-2.41%</w:t>
            </w:r>
          </w:p>
        </w:tc>
        <w:tc>
          <w:tcPr>
            <w:tcW w:w="0" w:type="dxa"/>
            <w:vAlign w:val="bottom"/>
          </w:tcPr>
          <w:p>
            <w:pPr>
              <w:spacing w:after="0"/>
              <w:rPr>
                <w:sz w:val="1"/>
                <w:szCs w:val="1"/>
                <w:color w:val="auto"/>
              </w:rPr>
            </w:pPr>
          </w:p>
        </w:tc>
      </w:tr>
      <w:tr>
        <w:trPr>
          <w:trHeight w:val="315"/>
        </w:trPr>
        <w:tc>
          <w:tcPr>
            <w:tcW w:w="4280" w:type="dxa"/>
            <w:vAlign w:val="bottom"/>
          </w:tcPr>
          <w:p>
            <w:pPr>
              <w:ind w:left="20"/>
              <w:spacing w:after="0"/>
              <w:rPr>
                <w:sz w:val="20"/>
                <w:szCs w:val="20"/>
                <w:color w:val="auto"/>
              </w:rPr>
            </w:pPr>
            <w:r>
              <w:rPr>
                <w:rFonts w:ascii="Arial" w:cs="Arial" w:eastAsia="Arial" w:hAnsi="Arial"/>
                <w:sz w:val="18"/>
                <w:szCs w:val="18"/>
                <w:color w:val="auto"/>
              </w:rPr>
              <w:t xml:space="preserve">Expected term (years) </w:t>
            </w:r>
            <w:r>
              <w:rPr>
                <w:rFonts w:ascii="Arial" w:cs="Arial" w:eastAsia="Arial" w:hAnsi="Arial"/>
                <w:sz w:val="24"/>
                <w:szCs w:val="24"/>
                <w:color w:val="auto"/>
                <w:vertAlign w:val="superscript"/>
              </w:rPr>
              <w:t>(4)</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5.27-6.25</w:t>
            </w:r>
          </w:p>
        </w:tc>
        <w:tc>
          <w:tcPr>
            <w:tcW w:w="1940" w:type="dxa"/>
            <w:vAlign w:val="bottom"/>
            <w:gridSpan w:val="2"/>
          </w:tcPr>
          <w:p>
            <w:pPr>
              <w:jc w:val="center"/>
              <w:ind w:left="15"/>
              <w:spacing w:after="0"/>
              <w:rPr>
                <w:sz w:val="20"/>
                <w:szCs w:val="20"/>
                <w:color w:val="auto"/>
              </w:rPr>
            </w:pPr>
            <w:r>
              <w:rPr>
                <w:rFonts w:ascii="Arial" w:cs="Arial" w:eastAsia="Arial" w:hAnsi="Arial"/>
                <w:sz w:val="18"/>
                <w:szCs w:val="18"/>
                <w:color w:val="auto"/>
                <w:w w:val="89"/>
              </w:rPr>
              <w:t>5.27-6.08</w:t>
            </w:r>
          </w:p>
        </w:tc>
        <w:tc>
          <w:tcPr>
            <w:tcW w:w="1940" w:type="dxa"/>
            <w:vAlign w:val="bottom"/>
            <w:gridSpan w:val="2"/>
          </w:tcPr>
          <w:p>
            <w:pPr>
              <w:jc w:val="center"/>
              <w:ind w:left="15"/>
              <w:spacing w:after="0"/>
              <w:rPr>
                <w:sz w:val="20"/>
                <w:szCs w:val="20"/>
                <w:color w:val="auto"/>
              </w:rPr>
            </w:pPr>
            <w:r>
              <w:rPr>
                <w:rFonts w:ascii="Arial" w:cs="Arial" w:eastAsia="Arial" w:hAnsi="Arial"/>
                <w:sz w:val="18"/>
                <w:szCs w:val="18"/>
                <w:color w:val="auto"/>
                <w:w w:val="89"/>
              </w:rPr>
              <w:t>6.02-6.08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-559435</wp:posOffset>
            </wp:positionV>
            <wp:extent cx="6343650" cy="128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43650" cy="12890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-302260</wp:posOffset>
            </wp:positionV>
            <wp:extent cx="6343650"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43650" cy="128905"/>
                    </a:xfrm>
                    <a:prstGeom prst="rect">
                      <a:avLst/>
                    </a:prstGeom>
                    <a:noFill/>
                  </pic:spPr>
                </pic:pic>
              </a:graphicData>
            </a:graphic>
          </wp:anchor>
        </w:drawing>
      </w:r>
    </w:p>
    <w:p>
      <w:pPr>
        <w:spacing w:after="0" w:line="71"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No dividends were paid during the years ending December 31, 2021, 2020 and 2019.</w:t>
      </w:r>
    </w:p>
    <w:p>
      <w:pPr>
        <w:spacing w:after="0" w:line="30" w:lineRule="exact"/>
        <w:rPr>
          <w:rFonts w:ascii="Arial" w:cs="Arial" w:eastAsia="Arial" w:hAnsi="Arial"/>
          <w:sz w:val="15"/>
          <w:szCs w:val="15"/>
          <w:color w:val="auto"/>
        </w:rPr>
      </w:pPr>
    </w:p>
    <w:p>
      <w:pPr>
        <w:ind w:left="480" w:hanging="472"/>
        <w:spacing w:after="0" w:line="272" w:lineRule="auto"/>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expected volatility was calculated based upon historical stock price movements of similar publicly traded peer companies over the most recent periods ending on the grant date, equal to the expected term of the options, as adequate historical experience is not available to provide a reasonable estimate.</w:t>
      </w:r>
    </w:p>
    <w:p>
      <w:pPr>
        <w:ind w:left="480" w:hanging="472"/>
        <w:spacing w:after="0"/>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risk-free interest rate is based on the yield from U.S. treasury bonds with an equivalent term to the expected term of the options.</w:t>
      </w:r>
    </w:p>
    <w:p>
      <w:pPr>
        <w:spacing w:after="0" w:line="43" w:lineRule="exact"/>
        <w:rPr>
          <w:rFonts w:ascii="Arial" w:cs="Arial" w:eastAsia="Arial" w:hAnsi="Arial"/>
          <w:sz w:val="15"/>
          <w:szCs w:val="15"/>
          <w:color w:val="auto"/>
        </w:rPr>
      </w:pPr>
    </w:p>
    <w:p>
      <w:pPr>
        <w:ind w:left="480" w:hanging="472"/>
        <w:spacing w:after="0"/>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expected term of options granted is calculated using the simplified method for “plain vanilla” stock options awards.</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December 31, 2021, there was $17.4 million of total unrecognized compensation cost related to non-vested options that are expected to be recognized over a period of up to 4 years.</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During the year ended December 31, 2021, the Company issued 650,000 warrants with similar terms as the Public Warrants to certain consultants in connection with the Closing of the Business Combination. The Company recognized $0.9 million of expense in connection with these warrants.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began issuing restricted stock units (“RSUs”) to certain employees and directors of the Company in the fourth quarter of 2021 under the 2021 plan. These RSUs typically vest over a four-year period. The following table summarizes the activity for restricted stock units for the year ended December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00" w:type="dxa"/>
            <w:vAlign w:val="bottom"/>
          </w:tcPr>
          <w:p>
            <w:pPr>
              <w:spacing w:after="0"/>
              <w:rPr>
                <w:sz w:val="14"/>
                <w:szCs w:val="14"/>
                <w:color w:val="auto"/>
              </w:rPr>
            </w:pPr>
          </w:p>
        </w:tc>
        <w:tc>
          <w:tcPr>
            <w:tcW w:w="3500" w:type="dxa"/>
            <w:vAlign w:val="bottom"/>
            <w:tcBorders>
              <w:bottom w:val="single" w:sz="8" w:color="auto"/>
            </w:tcBorders>
            <w:gridSpan w:val="4"/>
          </w:tcPr>
          <w:p>
            <w:pPr>
              <w:jc w:val="right"/>
              <w:ind w:right="858"/>
              <w:spacing w:after="0"/>
              <w:rPr>
                <w:sz w:val="20"/>
                <w:szCs w:val="20"/>
                <w:color w:val="auto"/>
              </w:rPr>
            </w:pPr>
            <w:r>
              <w:rPr>
                <w:rFonts w:ascii="Arial" w:cs="Arial" w:eastAsia="Arial" w:hAnsi="Arial"/>
                <w:sz w:val="13"/>
                <w:szCs w:val="13"/>
                <w:b w:val="1"/>
                <w:bCs w:val="1"/>
                <w:color w:val="auto"/>
              </w:rPr>
              <w:t>Year ended December 31, 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700" w:type="dxa"/>
            <w:vAlign w:val="bottom"/>
          </w:tcPr>
          <w:p>
            <w:pPr>
              <w:spacing w:after="0"/>
              <w:rPr>
                <w:sz w:val="8"/>
                <w:szCs w:val="8"/>
                <w:color w:val="auto"/>
              </w:rPr>
            </w:pPr>
          </w:p>
        </w:tc>
        <w:tc>
          <w:tcPr>
            <w:tcW w:w="1920" w:type="dxa"/>
            <w:vAlign w:val="bottom"/>
            <w:gridSpan w:val="2"/>
            <w:vMerge w:val="restart"/>
          </w:tcPr>
          <w:p>
            <w:pPr>
              <w:jc w:val="right"/>
              <w:ind w:right="740"/>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8"/>
                <w:szCs w:val="8"/>
                <w:color w:val="auto"/>
              </w:rPr>
            </w:pPr>
          </w:p>
        </w:tc>
        <w:tc>
          <w:tcPr>
            <w:tcW w:w="1400" w:type="dxa"/>
            <w:vAlign w:val="bottom"/>
          </w:tcPr>
          <w:p>
            <w:pPr>
              <w:jc w:val="center"/>
              <w:ind w:right="118"/>
              <w:spacing w:after="0" w:line="103" w:lineRule="exact"/>
              <w:rPr>
                <w:sz w:val="20"/>
                <w:szCs w:val="20"/>
                <w:color w:val="auto"/>
              </w:rPr>
            </w:pPr>
            <w:r>
              <w:rPr>
                <w:rFonts w:ascii="Arial" w:cs="Arial" w:eastAsia="Arial" w:hAnsi="Arial"/>
                <w:sz w:val="10"/>
                <w:szCs w:val="10"/>
                <w:b w:val="1"/>
                <w:bCs w:val="1"/>
                <w:color w:val="auto"/>
              </w:rPr>
              <w:t>Weighted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70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jc w:val="center"/>
              <w:ind w:right="118"/>
              <w:spacing w:after="0" w:line="122" w:lineRule="exact"/>
              <w:rPr>
                <w:sz w:val="20"/>
                <w:szCs w:val="20"/>
                <w:color w:val="auto"/>
              </w:rPr>
            </w:pPr>
            <w:r>
              <w:rPr>
                <w:rFonts w:ascii="Arial" w:cs="Arial" w:eastAsia="Arial" w:hAnsi="Arial"/>
                <w:sz w:val="13"/>
                <w:szCs w:val="13"/>
                <w:b w:val="1"/>
                <w:bCs w:val="1"/>
                <w:color w:val="auto"/>
                <w:w w:val="87"/>
              </w:rPr>
              <w:t>average grant-date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restricted stock units</w:t>
            </w:r>
          </w:p>
        </w:tc>
        <w:tc>
          <w:tcPr>
            <w:tcW w:w="180" w:type="dxa"/>
            <w:vAlign w:val="bottom"/>
          </w:tcPr>
          <w:p>
            <w:pPr>
              <w:spacing w:after="0"/>
              <w:rPr>
                <w:sz w:val="14"/>
                <w:szCs w:val="14"/>
                <w:color w:val="auto"/>
              </w:rPr>
            </w:pPr>
          </w:p>
        </w:tc>
        <w:tc>
          <w:tcPr>
            <w:tcW w:w="1400" w:type="dxa"/>
            <w:vAlign w:val="bottom"/>
          </w:tcPr>
          <w:p>
            <w:pPr>
              <w:jc w:val="center"/>
              <w:ind w:right="118"/>
              <w:spacing w:after="0"/>
              <w:rPr>
                <w:sz w:val="20"/>
                <w:szCs w:val="20"/>
                <w:color w:val="auto"/>
              </w:rPr>
            </w:pPr>
            <w:r>
              <w:rPr>
                <w:rFonts w:ascii="Arial" w:cs="Arial" w:eastAsia="Arial" w:hAnsi="Arial"/>
                <w:sz w:val="13"/>
                <w:szCs w:val="13"/>
                <w:b w:val="1"/>
                <w:bCs w:val="1"/>
                <w:color w:val="auto"/>
                <w:w w:val="87"/>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Nonvested at beginning of year</w:t>
            </w:r>
          </w:p>
        </w:tc>
        <w:tc>
          <w:tcPr>
            <w:tcW w:w="1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rPr>
                <w:sz w:val="20"/>
                <w:szCs w:val="20"/>
                <w:color w:val="auto"/>
              </w:rPr>
            </w:pPr>
            <w:r>
              <w:rPr>
                <w:rFonts w:ascii="Arial" w:cs="Arial" w:eastAsia="Arial" w:hAnsi="Arial"/>
                <w:sz w:val="13"/>
                <w:szCs w:val="13"/>
                <w:color w:val="auto"/>
              </w:rPr>
              <w:t>Granted</w:t>
            </w:r>
          </w:p>
        </w:tc>
        <w:tc>
          <w:tcPr>
            <w:tcW w:w="1760" w:type="dxa"/>
            <w:vAlign w:val="bottom"/>
          </w:tcPr>
          <w:p>
            <w:pPr>
              <w:jc w:val="right"/>
              <w:spacing w:after="0"/>
              <w:rPr>
                <w:sz w:val="20"/>
                <w:szCs w:val="20"/>
                <w:color w:val="auto"/>
              </w:rPr>
            </w:pPr>
            <w:r>
              <w:rPr>
                <w:rFonts w:ascii="Arial" w:cs="Arial" w:eastAsia="Arial" w:hAnsi="Arial"/>
                <w:sz w:val="13"/>
                <w:szCs w:val="13"/>
                <w:color w:val="auto"/>
              </w:rPr>
              <w:t>3,472,106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Vested</w:t>
            </w: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(512,686 )</w:t>
            </w: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3.58</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0"/>
              <w:spacing w:after="0"/>
              <w:rPr>
                <w:sz w:val="20"/>
                <w:szCs w:val="20"/>
                <w:color w:val="auto"/>
              </w:rPr>
            </w:pPr>
            <w:r>
              <w:rPr>
                <w:rFonts w:ascii="Arial" w:cs="Arial" w:eastAsia="Arial" w:hAnsi="Arial"/>
                <w:sz w:val="13"/>
                <w:szCs w:val="13"/>
                <w:color w:val="auto"/>
              </w:rPr>
              <w:t>Forfeited</w:t>
            </w:r>
          </w:p>
        </w:tc>
        <w:tc>
          <w:tcPr>
            <w:tcW w:w="1920" w:type="dxa"/>
            <w:vAlign w:val="bottom"/>
            <w:gridSpan w:val="2"/>
          </w:tcPr>
          <w:p>
            <w:pPr>
              <w:jc w:val="right"/>
              <w:ind w:right="100"/>
              <w:spacing w:after="0"/>
              <w:rPr>
                <w:sz w:val="20"/>
                <w:szCs w:val="20"/>
                <w:color w:val="auto"/>
              </w:rPr>
            </w:pPr>
            <w:r>
              <w:rPr>
                <w:rFonts w:ascii="Arial" w:cs="Arial" w:eastAsia="Arial" w:hAnsi="Arial"/>
                <w:sz w:val="13"/>
                <w:szCs w:val="13"/>
                <w:color w:val="auto"/>
              </w:rPr>
              <w:t>(629,326 )</w:t>
            </w: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Nonvested at end of year</w:t>
            </w:r>
          </w:p>
        </w:tc>
        <w:tc>
          <w:tcPr>
            <w:tcW w:w="1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2,330,094</w:t>
            </w:r>
          </w:p>
        </w:tc>
        <w:tc>
          <w:tcPr>
            <w:tcW w:w="1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3.58</w:t>
            </w:r>
          </w:p>
        </w:tc>
        <w:tc>
          <w:tcPr>
            <w:tcW w:w="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-5080</wp:posOffset>
            </wp:positionV>
            <wp:extent cx="431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there was $8.2 million of total unrecognized compensation cost related to non-vested RSUs that are expected to be recognized over a period of up to 3.7 years.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total share-based compensation expense related to stock options and restricted stock units included in the respective components of operating expenses in the consolidated statement of operations and comprehensive loss:</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 net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229</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768</w:t>
            </w:r>
          </w:p>
        </w:tc>
        <w:tc>
          <w:tcPr>
            <w:tcW w:w="60" w:type="dxa"/>
            <w:vAlign w:val="bottom"/>
            <w:shd w:val="clear" w:color="auto" w:fill="CFF0FC"/>
          </w:tcPr>
          <w:p>
            <w:pPr>
              <w:spacing w:after="0"/>
              <w:rPr>
                <w:sz w:val="17"/>
                <w:szCs w:val="17"/>
                <w:color w:val="auto"/>
              </w:rPr>
            </w:pP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Clinical Operations</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401</w:t>
            </w:r>
          </w:p>
        </w:tc>
        <w:tc>
          <w:tcPr>
            <w:tcW w:w="60" w:type="dxa"/>
            <w:vAlign w:val="bottom"/>
          </w:tcPr>
          <w:p>
            <w:pPr>
              <w:spacing w:after="0"/>
              <w:rPr>
                <w:sz w:val="17"/>
                <w:szCs w:val="17"/>
                <w:color w:val="auto"/>
              </w:rPr>
            </w:pP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1,568</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w:t>
            </w:r>
          </w:p>
        </w:tc>
        <w:tc>
          <w:tcPr>
            <w:tcW w:w="60" w:type="dxa"/>
            <w:vAlign w:val="bottom"/>
            <w:shd w:val="clear" w:color="auto" w:fill="CFF0FC"/>
          </w:tcPr>
          <w:p>
            <w:pPr>
              <w:spacing w:after="0"/>
              <w:rPr>
                <w:sz w:val="17"/>
                <w:szCs w:val="17"/>
                <w:color w:val="auto"/>
              </w:rPr>
            </w:pP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16,503</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1,078</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2,053</w:t>
            </w:r>
          </w:p>
        </w:tc>
        <w:tc>
          <w:tcPr>
            <w:tcW w:w="60" w:type="dxa"/>
            <w:vAlign w:val="bottom"/>
          </w:tcPr>
          <w:p>
            <w:pPr>
              <w:spacing w:after="0"/>
              <w:rPr>
                <w:sz w:val="17"/>
                <w:szCs w:val="17"/>
                <w:color w:val="auto"/>
              </w:rPr>
            </w:pPr>
          </w:p>
        </w:tc>
      </w:tr>
      <w:tr>
        <w:trPr>
          <w:trHeight w:val="236"/>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27,405</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2,977</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3,404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431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431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431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discussed in Note 3, upon closing of the Business Combination, vested and unvested stock options of Old Talkspace were converted into Talkspace stock options using an exchange ratio of 1.134140. As a result of this modification, the Company recognized $15.2 million in additional share-based compensation expense during the year ended December 31, 2021. Additionally, the unrecognized compensation cost includes $1.5 million of expense related to the modification of unvested stock options in connection with the Business Combination. This cost will be recognized over the vesting period for the respective stock options.</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November 15, 2021, Oren Frank (co-founder and former Chief Executive Officer and Director) and Roni Frank (co-founder and former Head of Clinical Services and Director) resigned from the Company’s Board of Directors and from all other board, officer and fiduciary positions held with the Company, but agreed to continue to serve as strategic advisors to the Board of Directors for a period of up to six months. Per the terms of their respective Separation and Transition Agreements, Mr. Frank and Ms. Frank will each receive the severance benefits provided for under the Company’s Executive Severance Plan (except that, rather than receiving 12 and 6 months of COBRA reimbursement payments, respectively, Mr. and Ms. Frank will each receive 24 months of COBRA reimbursement payments). In addition, the Company paid up-front payments of $750,000 to each of Mr. and Ms. Frank as an additional separation payment in recognition of their contributions to the Company as founders and as additional consideration for their continued compliance with their restrictive covenants. All stock options held by Mr. Frank and Ms. Frank that were granted prior to the Business Combination accelerated vesting and will remain exercisable until June 1, 2024, and all stock options granted following the Business Combination were cancelled and forfeited. The vesting of restricted stock units granted after the Business Combination that would have otherwise vested through June 1, 2024 were accelerated and the remainder were cancelled and forfeited. The Company recognized $3.8 million in share-based compensation expense as a result of the modification of Mr. and Ms. Frank equity awards during the fourth quarter of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LOSS PER SHARE</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years ended December 31, 2021, 2020 and 2019:</w:t>
      </w:r>
    </w:p>
    <w:p>
      <w:pPr>
        <w:spacing w:after="0" w:line="203"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620" w:type="dxa"/>
        <w:tblCellMar>
          <w:top w:w="0" w:type="dxa"/>
          <w:left w:w="0" w:type="dxa"/>
          <w:bottom w:w="0" w:type="dxa"/>
          <w:right w:w="0" w:type="dxa"/>
        </w:tblCellMar>
      </w:tblPr>
      <w:tr>
        <w:trPr>
          <w:trHeight w:val="169"/>
        </w:trPr>
        <w:tc>
          <w:tcPr>
            <w:tcW w:w="56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62,742</w:t>
            </w:r>
          </w:p>
        </w:tc>
        <w:tc>
          <w:tcPr>
            <w:tcW w:w="4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22,370</w:t>
            </w:r>
          </w:p>
        </w:tc>
        <w:tc>
          <w:tcPr>
            <w:tcW w:w="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29,086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Weighted-average shares used to compute net loss per share,</w:t>
            </w:r>
          </w:p>
        </w:tc>
        <w:tc>
          <w:tcPr>
            <w:tcW w:w="3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86,775,948</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13,359,350</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12,721,426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60"/>
              <w:spacing w:after="0" w:line="216" w:lineRule="exact"/>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0.72</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-5080</wp:posOffset>
            </wp:positionV>
            <wp:extent cx="5143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-5080</wp:posOffset>
            </wp:positionV>
            <wp:extent cx="431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-5080</wp:posOffset>
            </wp:positionV>
            <wp:extent cx="431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10" w:lineRule="exact"/>
        <w:rPr>
          <w:sz w:val="20"/>
          <w:szCs w:val="20"/>
          <w:color w:val="auto"/>
        </w:rPr>
      </w:pPr>
    </w:p>
    <w:p>
      <w:pPr>
        <w:ind w:left="480" w:hanging="472"/>
        <w:spacing w:after="0" w:line="274" w:lineRule="auto"/>
        <w:tabs>
          <w:tab w:leader="none" w:pos="4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Prior period results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year ended December 31, 2021, the following were excluded from the calculation of diluted loss per share since each would have had an anti-dilutive effect given the Company’s net loss: 19,494,861 stock options, 2,330,094 restricted stock units, 12,780,000 private placement warrants and 21,350,000 public warrants to purchase the Company’s common stock.</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year ended December 31, 2020, the following were excluded from the calculation of diluted loss per share since each would have had an anti-dilutive effect given the Company’s net loss: 83,395,815 shares of convertible preferred stock, 18,097,815 stock options, 60,000 warrants to the Company’s common stock and 50,881 warrants to the Company’s series D convertible preferred stock.</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year ended December 31, 2019, the following were excluded from the calculation of diluted loss per share since each would have had an anti-dilutive effect given the Company’s net loss: 83,395,815 shares of convertible preferred stock, 13,841,065 stock options, 60,000 warrants to the Company’s common stock and 50,881 warrants to the Company’s series D convertible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TAXES ON INCOME</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and its subsidiaries file income tax returns in the U.S. federal, and various states and foreign jurisdictions. The Company assessed its uncertain tax positions and determined that it has no uncertain tax position at December 31,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statutory income tax rate to the Company’s effective income tax rate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w w:val="94"/>
              </w:rPr>
              <w:t>For the Years ended</w:t>
            </w: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240" w:type="dxa"/>
            <w:vAlign w:val="bottom"/>
          </w:tcPr>
          <w:p>
            <w:pPr>
              <w:ind w:left="20"/>
              <w:spacing w:after="0" w:line="142" w:lineRule="exact"/>
              <w:rPr>
                <w:sz w:val="20"/>
                <w:szCs w:val="20"/>
                <w:color w:val="auto"/>
              </w:rPr>
            </w:pPr>
            <w:r>
              <w:rPr>
                <w:rFonts w:ascii="Arial" w:cs="Arial" w:eastAsia="Arial" w:hAnsi="Arial"/>
                <w:sz w:val="13"/>
                <w:szCs w:val="13"/>
                <w:i w:val="1"/>
                <w:iCs w:val="1"/>
                <w:color w:val="auto"/>
              </w:rPr>
              <w:t>(in thousands)</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7"/>
              <w:spacing w:after="0" w:line="142" w:lineRule="exact"/>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677"/>
              <w:spacing w:after="0" w:line="142" w:lineRule="exact"/>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7"/>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142"/>
        </w:trPr>
        <w:tc>
          <w:tcPr>
            <w:tcW w:w="52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Loss before income taxes</w:t>
            </w:r>
          </w:p>
        </w:tc>
        <w:tc>
          <w:tcPr>
            <w:tcW w:w="400" w:type="dxa"/>
            <w:vAlign w:val="bottom"/>
            <w:shd w:val="clear" w:color="auto" w:fill="CFF0FC"/>
          </w:tcPr>
          <w:p>
            <w:pPr>
              <w:jc w:val="right"/>
              <w:ind w:right="288"/>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62,695</w:t>
            </w: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1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22,346</w:t>
            </w: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68"/>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29,078</w:t>
            </w:r>
          </w:p>
        </w:tc>
        <w:tc>
          <w:tcPr>
            <w:tcW w:w="160" w:type="dxa"/>
            <w:vAlign w:val="bottom"/>
            <w:shd w:val="clear" w:color="auto" w:fill="CFF0FC"/>
          </w:tcPr>
          <w:p>
            <w:pPr>
              <w:spacing w:after="0"/>
              <w:rPr>
                <w:sz w:val="12"/>
                <w:szCs w:val="12"/>
                <w:color w:val="auto"/>
              </w:rPr>
            </w:pPr>
          </w:p>
        </w:tc>
      </w:tr>
      <w:tr>
        <w:trPr>
          <w:trHeight w:val="148"/>
        </w:trPr>
        <w:tc>
          <w:tcPr>
            <w:tcW w:w="5240" w:type="dxa"/>
            <w:vAlign w:val="bottom"/>
          </w:tcPr>
          <w:p>
            <w:pPr>
              <w:ind w:left="20"/>
              <w:spacing w:after="0"/>
              <w:rPr>
                <w:sz w:val="20"/>
                <w:szCs w:val="20"/>
                <w:color w:val="auto"/>
              </w:rPr>
            </w:pPr>
            <w:r>
              <w:rPr>
                <w:rFonts w:ascii="Arial" w:cs="Arial" w:eastAsia="Arial" w:hAnsi="Arial"/>
                <w:sz w:val="13"/>
                <w:szCs w:val="13"/>
                <w:color w:val="auto"/>
              </w:rPr>
              <w:t>Statutory tax rate</w:t>
            </w:r>
          </w:p>
        </w:tc>
        <w:tc>
          <w:tcPr>
            <w:tcW w:w="400" w:type="dxa"/>
            <w:vAlign w:val="bottom"/>
          </w:tcPr>
          <w:p>
            <w:pPr>
              <w:spacing w:after="0"/>
              <w:rPr>
                <w:sz w:val="12"/>
                <w:szCs w:val="12"/>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3"/>
                <w:szCs w:val="13"/>
                <w:color w:val="auto"/>
              </w:rPr>
              <w:t>21 %</w:t>
            </w:r>
          </w:p>
        </w:tc>
        <w:tc>
          <w:tcPr>
            <w:tcW w:w="180" w:type="dxa"/>
            <w:vAlign w:val="bottom"/>
          </w:tcPr>
          <w:p>
            <w:pPr>
              <w:spacing w:after="0"/>
              <w:rPr>
                <w:sz w:val="12"/>
                <w:szCs w:val="12"/>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3"/>
                <w:szCs w:val="13"/>
                <w:color w:val="auto"/>
              </w:rPr>
              <w:t>21 %</w:t>
            </w:r>
          </w:p>
        </w:tc>
        <w:tc>
          <w:tcPr>
            <w:tcW w:w="380" w:type="dxa"/>
            <w:vAlign w:val="bottom"/>
          </w:tcPr>
          <w:p>
            <w:pPr>
              <w:spacing w:after="0"/>
              <w:rPr>
                <w:sz w:val="12"/>
                <w:szCs w:val="1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3"/>
                <w:szCs w:val="13"/>
                <w:color w:val="auto"/>
              </w:rPr>
              <w:t>21 %</w:t>
            </w:r>
          </w:p>
        </w:tc>
      </w:tr>
      <w:tr>
        <w:trPr>
          <w:trHeight w:val="148"/>
        </w:trPr>
        <w:tc>
          <w:tcPr>
            <w:tcW w:w="5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Theoretical tax benefit</w:t>
            </w:r>
          </w:p>
        </w:tc>
        <w:tc>
          <w:tcPr>
            <w:tcW w:w="4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13,166</w:t>
            </w: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4,693</w:t>
            </w: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6,106</w:t>
            </w:r>
          </w:p>
        </w:tc>
        <w:tc>
          <w:tcPr>
            <w:tcW w:w="160" w:type="dxa"/>
            <w:vAlign w:val="bottom"/>
            <w:shd w:val="clear" w:color="auto" w:fill="CFF0FC"/>
          </w:tcPr>
          <w:p>
            <w:pPr>
              <w:spacing w:after="0"/>
              <w:rPr>
                <w:sz w:val="12"/>
                <w:szCs w:val="12"/>
                <w:color w:val="auto"/>
              </w:rPr>
            </w:pPr>
          </w:p>
        </w:tc>
      </w:tr>
      <w:tr>
        <w:trPr>
          <w:trHeight w:val="149"/>
        </w:trPr>
        <w:tc>
          <w:tcPr>
            <w:tcW w:w="5240" w:type="dxa"/>
            <w:vAlign w:val="bottom"/>
          </w:tcPr>
          <w:p>
            <w:pPr>
              <w:ind w:left="20"/>
              <w:spacing w:after="0"/>
              <w:rPr>
                <w:sz w:val="20"/>
                <w:szCs w:val="20"/>
                <w:color w:val="auto"/>
              </w:rPr>
            </w:pPr>
            <w:r>
              <w:rPr>
                <w:rFonts w:ascii="Arial" w:cs="Arial" w:eastAsia="Arial" w:hAnsi="Arial"/>
                <w:sz w:val="13"/>
                <w:szCs w:val="13"/>
                <w:color w:val="auto"/>
              </w:rPr>
              <w:t>Increase (decrease) in effective tax rate due to:</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5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State taxes, net of federal benefit</w:t>
            </w:r>
          </w:p>
        </w:tc>
        <w:tc>
          <w:tcPr>
            <w:tcW w:w="4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w:t>
            </w: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w:t>
            </w: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1,508</w:t>
            </w:r>
          </w:p>
        </w:tc>
        <w:tc>
          <w:tcPr>
            <w:tcW w:w="160" w:type="dxa"/>
            <w:vAlign w:val="bottom"/>
            <w:shd w:val="clear" w:color="auto" w:fill="CFF0FC"/>
          </w:tcPr>
          <w:p>
            <w:pPr>
              <w:spacing w:after="0"/>
              <w:rPr>
                <w:sz w:val="12"/>
                <w:szCs w:val="12"/>
                <w:color w:val="auto"/>
              </w:rPr>
            </w:pPr>
          </w:p>
        </w:tc>
      </w:tr>
      <w:tr>
        <w:trPr>
          <w:trHeight w:val="148"/>
        </w:trPr>
        <w:tc>
          <w:tcPr>
            <w:tcW w:w="5240" w:type="dxa"/>
            <w:vAlign w:val="bottom"/>
          </w:tcPr>
          <w:p>
            <w:pPr>
              <w:ind w:left="20"/>
              <w:spacing w:after="0"/>
              <w:rPr>
                <w:sz w:val="20"/>
                <w:szCs w:val="20"/>
                <w:color w:val="auto"/>
              </w:rPr>
            </w:pPr>
            <w:r>
              <w:rPr>
                <w:rFonts w:ascii="Arial" w:cs="Arial" w:eastAsia="Arial" w:hAnsi="Arial"/>
                <w:sz w:val="13"/>
                <w:szCs w:val="13"/>
                <w:color w:val="auto"/>
              </w:rPr>
              <w:t>Permanent differences</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1,492</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3"/>
                <w:szCs w:val="13"/>
                <w:color w:val="auto"/>
              </w:rPr>
              <w:t>(586 )</w:t>
            </w:r>
          </w:p>
        </w:tc>
        <w:tc>
          <w:tcPr>
            <w:tcW w:w="380" w:type="dxa"/>
            <w:vAlign w:val="bottom"/>
          </w:tcPr>
          <w:p>
            <w:pPr>
              <w:spacing w:after="0"/>
              <w:rPr>
                <w:sz w:val="12"/>
                <w:szCs w:val="1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3"/>
                <w:szCs w:val="13"/>
                <w:color w:val="auto"/>
              </w:rPr>
              <w:t>(591 )</w:t>
            </w:r>
          </w:p>
        </w:tc>
      </w:tr>
      <w:tr>
        <w:trPr>
          <w:trHeight w:val="149"/>
        </w:trPr>
        <w:tc>
          <w:tcPr>
            <w:tcW w:w="5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Valuation allowance</w:t>
            </w:r>
          </w:p>
        </w:tc>
        <w:tc>
          <w:tcPr>
            <w:tcW w:w="40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(17,111 )</w:t>
            </w:r>
          </w:p>
        </w:tc>
        <w:tc>
          <w:tcPr>
            <w:tcW w:w="18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(5,208 )</w:t>
            </w:r>
          </w:p>
        </w:tc>
        <w:tc>
          <w:tcPr>
            <w:tcW w:w="3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(7,015 )</w:t>
            </w:r>
          </w:p>
        </w:tc>
      </w:tr>
      <w:tr>
        <w:trPr>
          <w:trHeight w:val="142"/>
        </w:trPr>
        <w:tc>
          <w:tcPr>
            <w:tcW w:w="5240" w:type="dxa"/>
            <w:vAlign w:val="bottom"/>
            <w:tcBorders>
              <w:top w:val="single" w:sz="8" w:color="CFF0FC"/>
            </w:tcBorders>
          </w:tcPr>
          <w:p>
            <w:pPr>
              <w:ind w:left="20"/>
              <w:spacing w:after="0" w:line="142" w:lineRule="exact"/>
              <w:rPr>
                <w:sz w:val="20"/>
                <w:szCs w:val="20"/>
                <w:color w:val="auto"/>
              </w:rPr>
            </w:pPr>
            <w:r>
              <w:rPr>
                <w:rFonts w:ascii="Arial" w:cs="Arial" w:eastAsia="Arial" w:hAnsi="Arial"/>
                <w:sz w:val="13"/>
                <w:szCs w:val="13"/>
                <w:color w:val="auto"/>
              </w:rPr>
              <w:t>Actual income taxes</w:t>
            </w:r>
          </w:p>
        </w:tc>
        <w:tc>
          <w:tcPr>
            <w:tcW w:w="4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w:t>
            </w:r>
          </w:p>
        </w:tc>
        <w:tc>
          <w:tcPr>
            <w:tcW w:w="38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1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w:t>
            </w:r>
          </w:p>
        </w:tc>
        <w:tc>
          <w:tcPr>
            <w:tcW w:w="360" w:type="dxa"/>
            <w:vAlign w:val="bottom"/>
            <w:tcBorders>
              <w:top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w:t>
            </w:r>
          </w:p>
        </w:tc>
        <w:tc>
          <w:tcPr>
            <w:tcW w:w="160" w:type="dxa"/>
            <w:vAlign w:val="bottom"/>
            <w:tcBorders>
              <w:top w:val="single" w:sz="8" w:color="CFF0FC"/>
            </w:tcBorders>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-125095</wp:posOffset>
            </wp:positionV>
            <wp:extent cx="11176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-125095</wp:posOffset>
            </wp:positionV>
            <wp:extent cx="10287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-125095</wp:posOffset>
            </wp:positionV>
            <wp:extent cx="10287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74"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Loss (income) before taxes is attributable to the following tax jurisdictions: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bl>
      <w:tblPr>
        <w:tblLayout w:type="fixed"/>
        <w:tblInd w:w="0" w:type="dxa"/>
        <w:tblCellMar>
          <w:top w:w="0" w:type="dxa"/>
          <w:left w:w="0" w:type="dxa"/>
          <w:bottom w:w="0" w:type="dxa"/>
          <w:right w:w="0" w:type="dxa"/>
        </w:tblCellMar>
      </w:tblPr>
      <w:tr>
        <w:trPr>
          <w:trHeight w:val="115"/>
        </w:trPr>
        <w:tc>
          <w:tcPr>
            <w:tcW w:w="1280" w:type="dxa"/>
            <w:vAlign w:val="bottom"/>
            <w:tcBorders>
              <w:top w:val="single" w:sz="8" w:color="0000FF"/>
            </w:tcBorders>
          </w:tcPr>
          <w:p>
            <w:pPr>
              <w:spacing w:after="0"/>
              <w:rPr>
                <w:sz w:val="10"/>
                <w:szCs w:val="10"/>
                <w:color w:val="auto"/>
              </w:rPr>
            </w:pPr>
          </w:p>
        </w:tc>
        <w:tc>
          <w:tcPr>
            <w:tcW w:w="4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2"/>
          </w:tcPr>
          <w:p>
            <w:pPr>
              <w:jc w:val="right"/>
              <w:ind w:right="500"/>
              <w:spacing w:after="0" w:line="115" w:lineRule="exact"/>
              <w:rPr>
                <w:sz w:val="20"/>
                <w:szCs w:val="20"/>
                <w:color w:val="auto"/>
              </w:rPr>
            </w:pPr>
            <w:r>
              <w:rPr>
                <w:rFonts w:ascii="Arial" w:cs="Arial" w:eastAsia="Arial" w:hAnsi="Arial"/>
                <w:sz w:val="13"/>
                <w:szCs w:val="13"/>
                <w:b w:val="1"/>
                <w:bCs w:val="1"/>
                <w:color w:val="auto"/>
                <w:w w:val="91"/>
              </w:rPr>
              <w:t>For the Years Ended</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2"/>
        </w:trPr>
        <w:tc>
          <w:tcPr>
            <w:tcW w:w="12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940" w:type="dxa"/>
            <w:vAlign w:val="bottom"/>
            <w:gridSpan w:val="2"/>
          </w:tcPr>
          <w:p>
            <w:pPr>
              <w:ind w:left="20"/>
              <w:spacing w:after="0" w:line="142" w:lineRule="exact"/>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7"/>
              <w:spacing w:after="0" w:line="142" w:lineRule="exact"/>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1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7"/>
              <w:spacing w:after="0" w:line="142"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2"/>
                <w:szCs w:val="12"/>
                <w:color w:val="auto"/>
              </w:rPr>
            </w:pPr>
          </w:p>
        </w:tc>
      </w:tr>
      <w:tr>
        <w:trPr>
          <w:trHeight w:val="142"/>
        </w:trPr>
        <w:tc>
          <w:tcPr>
            <w:tcW w:w="5940" w:type="dxa"/>
            <w:vAlign w:val="bottom"/>
            <w:gridSpan w:val="2"/>
            <w:shd w:val="clear" w:color="auto" w:fill="CFF0FC"/>
          </w:tcPr>
          <w:p>
            <w:pPr>
              <w:ind w:left="20"/>
              <w:spacing w:after="0" w:line="142" w:lineRule="exact"/>
              <w:rPr>
                <w:sz w:val="20"/>
                <w:szCs w:val="20"/>
                <w:color w:val="auto"/>
              </w:rPr>
            </w:pPr>
            <w:r>
              <w:rPr>
                <w:rFonts w:ascii="Arial" w:cs="Arial" w:eastAsia="Arial" w:hAnsi="Arial"/>
                <w:sz w:val="13"/>
                <w:szCs w:val="13"/>
                <w:color w:val="auto"/>
              </w:rPr>
              <w:t>U.S. operations</w:t>
            </w:r>
          </w:p>
        </w:tc>
        <w:tc>
          <w:tcPr>
            <w:tcW w:w="380" w:type="dxa"/>
            <w:vAlign w:val="bottom"/>
            <w:shd w:val="clear" w:color="auto" w:fill="CFF0FC"/>
          </w:tcPr>
          <w:p>
            <w:pPr>
              <w:jc w:val="right"/>
              <w:ind w:right="237"/>
              <w:spacing w:after="0" w:line="142" w:lineRule="exact"/>
              <w:rPr>
                <w:sz w:val="20"/>
                <w:szCs w:val="20"/>
                <w:color w:val="auto"/>
              </w:rPr>
            </w:pPr>
            <w:r>
              <w:rPr>
                <w:rFonts w:ascii="Arial" w:cs="Arial" w:eastAsia="Arial" w:hAnsi="Arial"/>
                <w:sz w:val="13"/>
                <w:szCs w:val="13"/>
                <w:color w:val="auto"/>
                <w:w w:val="82"/>
              </w:rPr>
              <w:t>$</w:t>
            </w:r>
          </w:p>
        </w:tc>
        <w:tc>
          <w:tcPr>
            <w:tcW w:w="12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62,902</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22,415</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17"/>
              <w:spacing w:after="0" w:line="142" w:lineRule="exact"/>
              <w:rPr>
                <w:sz w:val="20"/>
                <w:szCs w:val="20"/>
                <w:color w:val="auto"/>
              </w:rPr>
            </w:pPr>
            <w:r>
              <w:rPr>
                <w:rFonts w:ascii="Arial" w:cs="Arial" w:eastAsia="Arial" w:hAnsi="Arial"/>
                <w:sz w:val="13"/>
                <w:szCs w:val="13"/>
                <w:color w:val="auto"/>
                <w:w w:val="82"/>
              </w:rPr>
              <w:t>$</w:t>
            </w:r>
          </w:p>
        </w:tc>
        <w:tc>
          <w:tcPr>
            <w:tcW w:w="12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29,127</w:t>
            </w:r>
          </w:p>
        </w:tc>
        <w:tc>
          <w:tcPr>
            <w:tcW w:w="60" w:type="dxa"/>
            <w:vAlign w:val="bottom"/>
            <w:shd w:val="clear" w:color="auto" w:fill="CFF0FC"/>
          </w:tcPr>
          <w:p>
            <w:pPr>
              <w:spacing w:after="0"/>
              <w:rPr>
                <w:sz w:val="12"/>
                <w:szCs w:val="12"/>
                <w:color w:val="auto"/>
              </w:rPr>
            </w:pPr>
          </w:p>
        </w:tc>
      </w:tr>
      <w:tr>
        <w:trPr>
          <w:trHeight w:val="148"/>
        </w:trPr>
        <w:tc>
          <w:tcPr>
            <w:tcW w:w="5940" w:type="dxa"/>
            <w:vAlign w:val="bottom"/>
            <w:gridSpan w:val="2"/>
          </w:tcPr>
          <w:p>
            <w:pPr>
              <w:ind w:left="20"/>
              <w:spacing w:after="0"/>
              <w:rPr>
                <w:sz w:val="20"/>
                <w:szCs w:val="20"/>
                <w:color w:val="auto"/>
              </w:rPr>
            </w:pPr>
            <w:r>
              <w:rPr>
                <w:rFonts w:ascii="Arial" w:cs="Arial" w:eastAsia="Arial" w:hAnsi="Arial"/>
                <w:sz w:val="13"/>
                <w:szCs w:val="13"/>
                <w:color w:val="auto"/>
              </w:rPr>
              <w:t>Foreign operations</w:t>
            </w:r>
          </w:p>
        </w:tc>
        <w:tc>
          <w:tcPr>
            <w:tcW w:w="380" w:type="dxa"/>
            <w:vAlign w:val="bottom"/>
          </w:tcPr>
          <w:p>
            <w:pPr>
              <w:spacing w:after="0"/>
              <w:rPr>
                <w:sz w:val="12"/>
                <w:szCs w:val="1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(207 )</w:t>
            </w:r>
          </w:p>
        </w:tc>
        <w:tc>
          <w:tcPr>
            <w:tcW w:w="140" w:type="dxa"/>
            <w:vAlign w:val="bottom"/>
          </w:tcPr>
          <w:p>
            <w:pPr>
              <w:spacing w:after="0"/>
              <w:rPr>
                <w:sz w:val="12"/>
                <w:szCs w:val="12"/>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3"/>
                <w:szCs w:val="13"/>
                <w:color w:val="auto"/>
              </w:rPr>
              <w:t>(69 )</w:t>
            </w:r>
          </w:p>
        </w:tc>
        <w:tc>
          <w:tcPr>
            <w:tcW w:w="36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(49 )</w:t>
            </w:r>
          </w:p>
        </w:tc>
      </w:tr>
      <w:tr>
        <w:trPr>
          <w:trHeight w:val="182"/>
        </w:trPr>
        <w:tc>
          <w:tcPr>
            <w:tcW w:w="1280" w:type="dxa"/>
            <w:vAlign w:val="bottom"/>
            <w:tcBorders>
              <w:bottom w:val="single" w:sz="8" w:color="CFF0FC"/>
            </w:tcBorders>
            <w:shd w:val="clear" w:color="auto" w:fill="CFF0FC"/>
          </w:tcPr>
          <w:p>
            <w:pPr>
              <w:spacing w:after="0"/>
              <w:rPr>
                <w:sz w:val="15"/>
                <w:szCs w:val="15"/>
                <w:color w:val="auto"/>
              </w:rPr>
            </w:pPr>
          </w:p>
        </w:tc>
        <w:tc>
          <w:tcPr>
            <w:tcW w:w="46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jc w:val="right"/>
              <w:ind w:right="237"/>
              <w:spacing w:after="0" w:line="142" w:lineRule="exact"/>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62,695</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22,346</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217"/>
              <w:spacing w:after="0" w:line="142" w:lineRule="exact"/>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29,078</w:t>
            </w:r>
          </w:p>
        </w:tc>
        <w:tc>
          <w:tcPr>
            <w:tcW w:w="6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-25400</wp:posOffset>
            </wp:positionV>
            <wp:extent cx="431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342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342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20" w:type="dxa"/>
            <w:vAlign w:val="bottom"/>
            <w:gridSpan w:val="3"/>
          </w:tcPr>
          <w:p>
            <w:pPr>
              <w:jc w:val="right"/>
              <w:ind w:right="117"/>
              <w:spacing w:after="0"/>
              <w:rPr>
                <w:sz w:val="20"/>
                <w:szCs w:val="20"/>
                <w:color w:val="auto"/>
              </w:rPr>
            </w:pPr>
            <w:r>
              <w:rPr>
                <w:rFonts w:ascii="Arial" w:cs="Arial" w:eastAsia="Arial" w:hAnsi="Arial"/>
                <w:sz w:val="13"/>
                <w:szCs w:val="13"/>
                <w:b w:val="1"/>
                <w:bCs w:val="1"/>
                <w:color w:val="auto"/>
              </w:rPr>
              <w:t>For the Years ended</w:t>
            </w: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7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300" w:type="dxa"/>
            <w:vAlign w:val="bottom"/>
          </w:tcPr>
          <w:p>
            <w:pPr>
              <w:ind w:left="20"/>
              <w:spacing w:after="0" w:line="142" w:lineRule="exact"/>
              <w:rPr>
                <w:sz w:val="20"/>
                <w:szCs w:val="20"/>
                <w:color w:val="auto"/>
              </w:rPr>
            </w:pPr>
            <w:r>
              <w:rPr>
                <w:rFonts w:ascii="Arial" w:cs="Arial" w:eastAsia="Arial" w:hAnsi="Arial"/>
                <w:sz w:val="13"/>
                <w:szCs w:val="13"/>
                <w:i w:val="1"/>
                <w:iCs w:val="1"/>
                <w:color w:val="auto"/>
              </w:rPr>
              <w:t>(in thousands)</w:t>
            </w: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37"/>
              <w:spacing w:after="0" w:line="142" w:lineRule="exact"/>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17"/>
              <w:spacing w:after="0" w:line="142" w:lineRule="exact"/>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2"/>
                <w:szCs w:val="12"/>
                <w:color w:val="auto"/>
              </w:rPr>
            </w:pPr>
          </w:p>
        </w:tc>
      </w:tr>
      <w:tr>
        <w:trPr>
          <w:trHeight w:val="142"/>
        </w:trPr>
        <w:tc>
          <w:tcPr>
            <w:tcW w:w="730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Net deferred tax assets:</w:t>
            </w: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7300" w:type="dxa"/>
            <w:vAlign w:val="bottom"/>
          </w:tcPr>
          <w:p>
            <w:pPr>
              <w:ind w:left="140"/>
              <w:spacing w:after="0"/>
              <w:rPr>
                <w:sz w:val="20"/>
                <w:szCs w:val="20"/>
                <w:color w:val="auto"/>
              </w:rPr>
            </w:pPr>
            <w:r>
              <w:rPr>
                <w:rFonts w:ascii="Arial" w:cs="Arial" w:eastAsia="Arial" w:hAnsi="Arial"/>
                <w:sz w:val="13"/>
                <w:szCs w:val="13"/>
                <w:color w:val="auto"/>
              </w:rPr>
              <w:t>Net operating loss carryforwards</w:t>
            </w: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49,906</w:t>
            </w:r>
          </w:p>
        </w:tc>
        <w:tc>
          <w:tcPr>
            <w:tcW w:w="240" w:type="dxa"/>
            <w:vAlign w:val="bottom"/>
          </w:tcPr>
          <w:p>
            <w:pPr>
              <w:spacing w:after="0"/>
              <w:rPr>
                <w:sz w:val="12"/>
                <w:szCs w:val="12"/>
                <w:color w:val="auto"/>
              </w:rPr>
            </w:pP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25,778</w:t>
            </w:r>
          </w:p>
        </w:tc>
        <w:tc>
          <w:tcPr>
            <w:tcW w:w="60" w:type="dxa"/>
            <w:vAlign w:val="bottom"/>
          </w:tcPr>
          <w:p>
            <w:pPr>
              <w:spacing w:after="0"/>
              <w:rPr>
                <w:sz w:val="12"/>
                <w:szCs w:val="12"/>
                <w:color w:val="auto"/>
              </w:rPr>
            </w:pPr>
          </w:p>
        </w:tc>
      </w:tr>
      <w:tr>
        <w:trPr>
          <w:trHeight w:val="148"/>
        </w:trPr>
        <w:tc>
          <w:tcPr>
            <w:tcW w:w="7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Stock based compensation</w:t>
            </w: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3,150</w:t>
            </w: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w:t>
            </w:r>
          </w:p>
        </w:tc>
        <w:tc>
          <w:tcPr>
            <w:tcW w:w="60" w:type="dxa"/>
            <w:vAlign w:val="bottom"/>
            <w:shd w:val="clear" w:color="auto" w:fill="CFF0FC"/>
          </w:tcPr>
          <w:p>
            <w:pPr>
              <w:spacing w:after="0"/>
              <w:rPr>
                <w:sz w:val="12"/>
                <w:szCs w:val="12"/>
                <w:color w:val="auto"/>
              </w:rPr>
            </w:pPr>
          </w:p>
        </w:tc>
      </w:tr>
      <w:tr>
        <w:trPr>
          <w:trHeight w:val="148"/>
        </w:trPr>
        <w:tc>
          <w:tcPr>
            <w:tcW w:w="7300" w:type="dxa"/>
            <w:vAlign w:val="bottom"/>
          </w:tcPr>
          <w:p>
            <w:pPr>
              <w:ind w:left="140"/>
              <w:spacing w:after="0"/>
              <w:rPr>
                <w:sz w:val="20"/>
                <w:szCs w:val="20"/>
                <w:color w:val="auto"/>
              </w:rPr>
            </w:pPr>
            <w:r>
              <w:rPr>
                <w:rFonts w:ascii="Arial" w:cs="Arial" w:eastAsia="Arial" w:hAnsi="Arial"/>
                <w:sz w:val="13"/>
                <w:szCs w:val="13"/>
                <w:color w:val="auto"/>
              </w:rPr>
              <w:t>Fixed assets</w:t>
            </w:r>
          </w:p>
        </w:tc>
        <w:tc>
          <w:tcPr>
            <w:tcW w:w="4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340</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45</w:t>
            </w:r>
          </w:p>
        </w:tc>
        <w:tc>
          <w:tcPr>
            <w:tcW w:w="60" w:type="dxa"/>
            <w:vAlign w:val="bottom"/>
          </w:tcPr>
          <w:p>
            <w:pPr>
              <w:spacing w:after="0"/>
              <w:rPr>
                <w:sz w:val="12"/>
                <w:szCs w:val="12"/>
                <w:color w:val="auto"/>
              </w:rPr>
            </w:pPr>
          </w:p>
        </w:tc>
      </w:tr>
      <w:tr>
        <w:trPr>
          <w:trHeight w:val="148"/>
        </w:trPr>
        <w:tc>
          <w:tcPr>
            <w:tcW w:w="73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3"/>
                <w:szCs w:val="13"/>
                <w:color w:val="auto"/>
              </w:rPr>
              <w:t>Other</w:t>
            </w:r>
          </w:p>
        </w:tc>
        <w:tc>
          <w:tcPr>
            <w:tcW w:w="4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818</w:t>
            </w:r>
          </w:p>
        </w:tc>
        <w:tc>
          <w:tcPr>
            <w:tcW w:w="60" w:type="dxa"/>
            <w:vAlign w:val="bottom"/>
            <w:tcBorders>
              <w:bottom w:val="single" w:sz="8" w:color="CFF0FC"/>
            </w:tcBorders>
            <w:shd w:val="clear" w:color="auto" w:fill="CFF0FC"/>
          </w:tcPr>
          <w:p>
            <w:pPr>
              <w:spacing w:after="0"/>
              <w:rPr>
                <w:sz w:val="12"/>
                <w:szCs w:val="12"/>
                <w:color w:val="auto"/>
              </w:rPr>
            </w:pPr>
          </w:p>
        </w:tc>
      </w:tr>
      <w:tr>
        <w:trPr>
          <w:trHeight w:val="142"/>
        </w:trPr>
        <w:tc>
          <w:tcPr>
            <w:tcW w:w="7300" w:type="dxa"/>
            <w:vAlign w:val="bottom"/>
          </w:tcPr>
          <w:p>
            <w:pPr>
              <w:ind w:left="680"/>
              <w:spacing w:after="0" w:line="142" w:lineRule="exact"/>
              <w:rPr>
                <w:sz w:val="20"/>
                <w:szCs w:val="20"/>
                <w:color w:val="auto"/>
              </w:rPr>
            </w:pPr>
            <w:r>
              <w:rPr>
                <w:rFonts w:ascii="Arial" w:cs="Arial" w:eastAsia="Arial" w:hAnsi="Arial"/>
                <w:sz w:val="13"/>
                <w:szCs w:val="13"/>
                <w:color w:val="auto"/>
              </w:rPr>
              <w:t>Total gross deferred tax assets, net</w:t>
            </w: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53,441</w:t>
            </w:r>
          </w:p>
        </w:tc>
        <w:tc>
          <w:tcPr>
            <w:tcW w:w="2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26,959</w:t>
            </w:r>
          </w:p>
        </w:tc>
        <w:tc>
          <w:tcPr>
            <w:tcW w:w="60" w:type="dxa"/>
            <w:vAlign w:val="bottom"/>
          </w:tcPr>
          <w:p>
            <w:pPr>
              <w:spacing w:after="0"/>
              <w:rPr>
                <w:sz w:val="12"/>
                <w:szCs w:val="12"/>
                <w:color w:val="auto"/>
              </w:rPr>
            </w:pPr>
          </w:p>
        </w:tc>
      </w:tr>
      <w:tr>
        <w:trPr>
          <w:trHeight w:val="142"/>
        </w:trPr>
        <w:tc>
          <w:tcPr>
            <w:tcW w:w="7300" w:type="dxa"/>
            <w:vAlign w:val="bottom"/>
            <w:shd w:val="clear" w:color="auto" w:fill="CFF0FC"/>
          </w:tcPr>
          <w:p>
            <w:pPr>
              <w:ind w:left="680"/>
              <w:spacing w:after="0" w:line="142" w:lineRule="exact"/>
              <w:rPr>
                <w:sz w:val="20"/>
                <w:szCs w:val="20"/>
                <w:color w:val="auto"/>
              </w:rPr>
            </w:pPr>
            <w:r>
              <w:rPr>
                <w:rFonts w:ascii="Arial" w:cs="Arial" w:eastAsia="Arial" w:hAnsi="Arial"/>
                <w:sz w:val="13"/>
                <w:szCs w:val="13"/>
                <w:color w:val="auto"/>
              </w:rPr>
              <w:t>Valuation allowance</w:t>
            </w: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(44,186</w:t>
            </w:r>
          </w:p>
        </w:tc>
        <w:tc>
          <w:tcPr>
            <w:tcW w:w="240" w:type="dxa"/>
            <w:vAlign w:val="bottom"/>
            <w:shd w:val="clear" w:color="auto" w:fill="CFF0FC"/>
          </w:tcPr>
          <w:p>
            <w:pPr>
              <w:jc w:val="right"/>
              <w:ind w:right="158"/>
              <w:spacing w:after="0"/>
              <w:rPr>
                <w:sz w:val="20"/>
                <w:szCs w:val="20"/>
                <w:color w:val="auto"/>
              </w:rPr>
            </w:pPr>
            <w:r>
              <w:rPr>
                <w:rFonts w:ascii="Arial" w:cs="Arial" w:eastAsia="Arial" w:hAnsi="Arial"/>
                <w:sz w:val="8"/>
                <w:szCs w:val="8"/>
                <w:color w:val="auto"/>
                <w:w w:val="73"/>
              </w:rPr>
              <w:t>)</w:t>
            </w:r>
          </w:p>
        </w:tc>
        <w:tc>
          <w:tcPr>
            <w:tcW w:w="5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(27,075</w:t>
            </w:r>
          </w:p>
        </w:tc>
        <w:tc>
          <w:tcPr>
            <w:tcW w:w="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r>
      <w:tr>
        <w:trPr>
          <w:trHeight w:val="148"/>
        </w:trPr>
        <w:tc>
          <w:tcPr>
            <w:tcW w:w="7300" w:type="dxa"/>
            <w:vAlign w:val="bottom"/>
          </w:tcPr>
          <w:p>
            <w:pPr>
              <w:ind w:left="680"/>
              <w:spacing w:after="0"/>
              <w:rPr>
                <w:sz w:val="20"/>
                <w:szCs w:val="20"/>
                <w:color w:val="auto"/>
              </w:rPr>
            </w:pPr>
            <w:r>
              <w:rPr>
                <w:rFonts w:ascii="Arial" w:cs="Arial" w:eastAsia="Arial" w:hAnsi="Arial"/>
                <w:sz w:val="13"/>
                <w:szCs w:val="13"/>
                <w:color w:val="auto"/>
              </w:rPr>
              <w:t>Net deferred tax assets</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7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Deferred tax liabilities (long term):</w:t>
            </w: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7300" w:type="dxa"/>
            <w:vAlign w:val="bottom"/>
          </w:tcPr>
          <w:p>
            <w:pPr>
              <w:ind w:left="140"/>
              <w:spacing w:after="0"/>
              <w:rPr>
                <w:sz w:val="20"/>
                <w:szCs w:val="20"/>
                <w:color w:val="auto"/>
              </w:rPr>
            </w:pPr>
            <w:r>
              <w:rPr>
                <w:rFonts w:ascii="Arial" w:cs="Arial" w:eastAsia="Arial" w:hAnsi="Arial"/>
                <w:sz w:val="13"/>
                <w:szCs w:val="13"/>
                <w:color w:val="auto"/>
              </w:rPr>
              <w:t>Warrants</w:t>
            </w:r>
          </w:p>
        </w:tc>
        <w:tc>
          <w:tcPr>
            <w:tcW w:w="440" w:type="dxa"/>
            <w:vAlign w:val="bottom"/>
          </w:tcPr>
          <w:p>
            <w:pPr>
              <w:spacing w:after="0"/>
              <w:rPr>
                <w:sz w:val="12"/>
                <w:szCs w:val="12"/>
                <w:color w:val="auto"/>
              </w:rPr>
            </w:pPr>
          </w:p>
        </w:tc>
        <w:tc>
          <w:tcPr>
            <w:tcW w:w="1640" w:type="dxa"/>
            <w:vAlign w:val="bottom"/>
            <w:gridSpan w:val="2"/>
          </w:tcPr>
          <w:p>
            <w:pPr>
              <w:jc w:val="right"/>
              <w:ind w:right="158"/>
              <w:spacing w:after="0"/>
              <w:rPr>
                <w:sz w:val="20"/>
                <w:szCs w:val="20"/>
                <w:color w:val="auto"/>
              </w:rPr>
            </w:pPr>
            <w:r>
              <w:rPr>
                <w:rFonts w:ascii="Arial" w:cs="Arial" w:eastAsia="Arial" w:hAnsi="Arial"/>
                <w:sz w:val="13"/>
                <w:szCs w:val="13"/>
                <w:color w:val="auto"/>
              </w:rPr>
              <w:t>(9,255 )</w:t>
            </w:r>
          </w:p>
        </w:tc>
        <w:tc>
          <w:tcPr>
            <w:tcW w:w="5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116</w:t>
            </w:r>
          </w:p>
        </w:tc>
        <w:tc>
          <w:tcPr>
            <w:tcW w:w="60" w:type="dxa"/>
            <w:vAlign w:val="bottom"/>
          </w:tcPr>
          <w:p>
            <w:pPr>
              <w:spacing w:after="0"/>
              <w:rPr>
                <w:sz w:val="12"/>
                <w:szCs w:val="12"/>
                <w:color w:val="auto"/>
              </w:rPr>
            </w:pPr>
          </w:p>
        </w:tc>
      </w:tr>
      <w:tr>
        <w:trPr>
          <w:trHeight w:val="182"/>
        </w:trPr>
        <w:tc>
          <w:tcPr>
            <w:tcW w:w="7300" w:type="dxa"/>
            <w:vAlign w:val="bottom"/>
            <w:tcBorders>
              <w:bottom w:val="single" w:sz="8" w:color="CFF0FC"/>
            </w:tcBorders>
            <w:shd w:val="clear" w:color="auto" w:fill="CFF0FC"/>
          </w:tcPr>
          <w:p>
            <w:pPr>
              <w:ind w:left="680"/>
              <w:spacing w:after="0" w:line="142" w:lineRule="exact"/>
              <w:rPr>
                <w:sz w:val="20"/>
                <w:szCs w:val="20"/>
                <w:color w:val="auto"/>
              </w:rPr>
            </w:pPr>
            <w:r>
              <w:rPr>
                <w:rFonts w:ascii="Arial" w:cs="Arial" w:eastAsia="Arial" w:hAnsi="Arial"/>
                <w:sz w:val="13"/>
                <w:szCs w:val="13"/>
                <w:color w:val="auto"/>
              </w:rPr>
              <w:t>Net deferred tax assets</w:t>
            </w:r>
          </w:p>
        </w:tc>
        <w:tc>
          <w:tcPr>
            <w:tcW w:w="440" w:type="dxa"/>
            <w:vAlign w:val="bottom"/>
            <w:tcBorders>
              <w:top w:val="single" w:sz="8" w:color="auto"/>
              <w:bottom w:val="single" w:sz="8" w:color="auto"/>
            </w:tcBorders>
            <w:shd w:val="clear" w:color="auto" w:fill="CFF0FC"/>
          </w:tcPr>
          <w:p>
            <w:pPr>
              <w:jc w:val="right"/>
              <w:ind w:right="297"/>
              <w:spacing w:after="0" w:line="142" w:lineRule="exact"/>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ind w:right="437"/>
              <w:spacing w:after="0" w:line="142" w:lineRule="exact"/>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-613410</wp:posOffset>
            </wp:positionV>
            <wp:extent cx="431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-613410</wp:posOffset>
            </wp:positionV>
            <wp:extent cx="3429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Realization of the future tax benefits is dependent on the Company’s ability to generate sufficient taxable income within the carryforward period. A valuation allowance is provided for deferred tax assets when it is “more likely than not” that some portion of the deferred tax asset will not be realized. Because of the Company’s recent history of operating losses, management believes the recognition of the deferred tax assets arising from the above-mentioned future tax benefits is currently not more likely than not to be realized and, accordingly, has provided a full valuation allowance. A valuation allowance has been recorded for the net deferred tax assets at December 31, 2021 and 2020.</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maintains a full valuation allowance on its net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Management considered the Company’s cumulative loss in recent years and forecasted losses in the near term as significant negative evidence. Based upon a review of the four sources of income identified within ASC 740, management determined that the negative evidence outweighed the positive evidence and that a full valuation allowance on the net deferred tax assets will be maintained. Management will continue to assess the realizability of our deferred tax assets going forward and will adjust the valuation allowance as needed. The Company’s valuation allowance increased by $17.1 million during the year ended December 31, 2021 primarily due to increases in its net operating loss carryforwards.</w:t>
      </w:r>
    </w:p>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At December 31, 2021, the Company has federal and state net operating loss carryovers (“NOL”) of approximately $194.0 million and $180.6 million, respectively, which are available to reduce future taxable income. The NOL carryforwards begin to expire in 2032 and may become subject to annual limitation in the event of certain cumulative changes in the ownership interest of significant stockholders over a three-year period in excess of 50%, as defined under I.R.C. Section 382. This could limit the amount of tax attributes that can be utilized annually to offset future taxable income or future tax liabilities. The federal losses generated from 2018 onward do not expire.</w:t>
      </w:r>
    </w:p>
    <w:p>
      <w:pPr>
        <w:spacing w:after="0" w:line="8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Company files income tax returns in the United States and Israel. The Company is not currently under examination by any income tax authority, nor has it been notified that an examination is contemplated. The Company is no longer subject to U.S. federal, state or local income tax examinations by the tax authorities for years before 2018. The Israel subsidiary tax assessments filed by the Company through the 2015 are considered closed.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BENEFIT PLAN</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has established a 401(k) plan that qualifies as a deferred compensation arrangement under Section 401 of the Internal Revenue Code. All U.S. employees over the age of 21 are eligible to participate in the plan. The Company contributes 100% of eligible employee’s elective deferral up to 4% of eligible earnings. The Company made matching contributions to participants’ accounts totaling $0.5 million, $0.3 million and $0.3 million during the years ended December 31, 2021, 2020 and 2019,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ACCRUED EXPENSES AND OTHER CURRENT LIABILITIES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For the Years Ended December 31,</w:t>
            </w:r>
          </w:p>
        </w:tc>
        <w:tc>
          <w:tcPr>
            <w:tcW w:w="1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4"/>
        </w:trPr>
        <w:tc>
          <w:tcPr>
            <w:tcW w:w="668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(in thousands)</w:t>
            </w:r>
          </w:p>
        </w:tc>
        <w:tc>
          <w:tcPr>
            <w:tcW w:w="5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877"/>
              <w:spacing w:after="0" w:line="144" w:lineRule="exact"/>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77"/>
              <w:spacing w:after="0" w:line="144"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2"/>
                <w:szCs w:val="12"/>
                <w:color w:val="auto"/>
              </w:rPr>
            </w:pPr>
          </w:p>
        </w:tc>
      </w:tr>
      <w:tr>
        <w:trPr>
          <w:trHeight w:val="142"/>
        </w:trPr>
        <w:tc>
          <w:tcPr>
            <w:tcW w:w="6680" w:type="dxa"/>
            <w:vAlign w:val="bottom"/>
            <w:shd w:val="clear" w:color="auto" w:fill="CFF0FC"/>
          </w:tcPr>
          <w:p>
            <w:pPr>
              <w:ind w:left="200"/>
              <w:spacing w:after="0" w:line="142" w:lineRule="exact"/>
              <w:rPr>
                <w:sz w:val="20"/>
                <w:szCs w:val="20"/>
                <w:color w:val="auto"/>
              </w:rPr>
            </w:pPr>
            <w:r>
              <w:rPr>
                <w:rFonts w:ascii="Arial" w:cs="Arial" w:eastAsia="Arial" w:hAnsi="Arial"/>
                <w:sz w:val="13"/>
                <w:szCs w:val="13"/>
                <w:color w:val="auto"/>
              </w:rPr>
              <w:t>Employee compensation</w:t>
            </w:r>
          </w:p>
        </w:tc>
        <w:tc>
          <w:tcPr>
            <w:tcW w:w="500" w:type="dxa"/>
            <w:vAlign w:val="bottom"/>
            <w:shd w:val="clear" w:color="auto" w:fill="CFF0FC"/>
          </w:tcPr>
          <w:p>
            <w:pPr>
              <w:jc w:val="right"/>
              <w:ind w:right="357"/>
              <w:spacing w:after="0" w:line="142" w:lineRule="exact"/>
              <w:rPr>
                <w:sz w:val="20"/>
                <w:szCs w:val="20"/>
                <w:color w:val="auto"/>
              </w:rPr>
            </w:pPr>
            <w:r>
              <w:rPr>
                <w:rFonts w:ascii="Arial" w:cs="Arial" w:eastAsia="Arial" w:hAnsi="Arial"/>
                <w:sz w:val="13"/>
                <w:szCs w:val="13"/>
                <w:color w:val="auto"/>
                <w:w w:val="82"/>
              </w:rPr>
              <w:t>$</w:t>
            </w:r>
          </w:p>
        </w:tc>
        <w:tc>
          <w:tcPr>
            <w:tcW w:w="1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5,988</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717"/>
              <w:spacing w:after="0" w:line="142" w:lineRule="exact"/>
              <w:rPr>
                <w:sz w:val="20"/>
                <w:szCs w:val="20"/>
                <w:color w:val="auto"/>
              </w:rPr>
            </w:pPr>
            <w:r>
              <w:rPr>
                <w:rFonts w:ascii="Arial" w:cs="Arial" w:eastAsia="Arial" w:hAnsi="Arial"/>
                <w:sz w:val="13"/>
                <w:szCs w:val="13"/>
                <w:color w:val="auto"/>
                <w:w w:val="82"/>
              </w:rPr>
              <w:t>$</w:t>
            </w:r>
          </w:p>
        </w:tc>
        <w:tc>
          <w:tcPr>
            <w:tcW w:w="12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2,715</w:t>
            </w:r>
          </w:p>
        </w:tc>
        <w:tc>
          <w:tcPr>
            <w:tcW w:w="40" w:type="dxa"/>
            <w:vAlign w:val="bottom"/>
            <w:shd w:val="clear" w:color="auto" w:fill="CFF0FC"/>
          </w:tcPr>
          <w:p>
            <w:pPr>
              <w:spacing w:after="0"/>
              <w:rPr>
                <w:sz w:val="12"/>
                <w:szCs w:val="12"/>
                <w:color w:val="auto"/>
              </w:rPr>
            </w:pPr>
          </w:p>
        </w:tc>
      </w:tr>
      <w:tr>
        <w:trPr>
          <w:trHeight w:val="148"/>
        </w:trPr>
        <w:tc>
          <w:tcPr>
            <w:tcW w:w="6680" w:type="dxa"/>
            <w:vAlign w:val="bottom"/>
          </w:tcPr>
          <w:p>
            <w:pPr>
              <w:ind w:left="200"/>
              <w:spacing w:after="0"/>
              <w:rPr>
                <w:sz w:val="20"/>
                <w:szCs w:val="20"/>
                <w:color w:val="auto"/>
              </w:rPr>
            </w:pPr>
            <w:r>
              <w:rPr>
                <w:rFonts w:ascii="Arial" w:cs="Arial" w:eastAsia="Arial" w:hAnsi="Arial"/>
                <w:sz w:val="13"/>
                <w:szCs w:val="13"/>
                <w:color w:val="auto"/>
              </w:rPr>
              <w:t>User acquisition</w:t>
            </w:r>
          </w:p>
        </w:tc>
        <w:tc>
          <w:tcPr>
            <w:tcW w:w="50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2,680</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1,290</w:t>
            </w:r>
          </w:p>
        </w:tc>
        <w:tc>
          <w:tcPr>
            <w:tcW w:w="40" w:type="dxa"/>
            <w:vAlign w:val="bottom"/>
          </w:tcPr>
          <w:p>
            <w:pPr>
              <w:spacing w:after="0"/>
              <w:rPr>
                <w:sz w:val="12"/>
                <w:szCs w:val="12"/>
                <w:color w:val="auto"/>
              </w:rPr>
            </w:pPr>
          </w:p>
        </w:tc>
      </w:tr>
      <w:tr>
        <w:trPr>
          <w:trHeight w:val="148"/>
        </w:trPr>
        <w:tc>
          <w:tcPr>
            <w:tcW w:w="6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Professional fees</w:t>
            </w:r>
          </w:p>
        </w:tc>
        <w:tc>
          <w:tcPr>
            <w:tcW w:w="5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1,303</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2,020</w:t>
            </w:r>
          </w:p>
        </w:tc>
        <w:tc>
          <w:tcPr>
            <w:tcW w:w="40" w:type="dxa"/>
            <w:vAlign w:val="bottom"/>
            <w:shd w:val="clear" w:color="auto" w:fill="CFF0FC"/>
          </w:tcPr>
          <w:p>
            <w:pPr>
              <w:spacing w:after="0"/>
              <w:rPr>
                <w:sz w:val="12"/>
                <w:szCs w:val="12"/>
                <w:color w:val="auto"/>
              </w:rPr>
            </w:pPr>
          </w:p>
        </w:tc>
      </w:tr>
      <w:tr>
        <w:trPr>
          <w:trHeight w:val="148"/>
        </w:trPr>
        <w:tc>
          <w:tcPr>
            <w:tcW w:w="6680" w:type="dxa"/>
            <w:vAlign w:val="bottom"/>
          </w:tcPr>
          <w:p>
            <w:pPr>
              <w:ind w:left="200"/>
              <w:spacing w:after="0"/>
              <w:rPr>
                <w:sz w:val="20"/>
                <w:szCs w:val="20"/>
                <w:color w:val="auto"/>
              </w:rPr>
            </w:pPr>
            <w:r>
              <w:rPr>
                <w:rFonts w:ascii="Arial" w:cs="Arial" w:eastAsia="Arial" w:hAnsi="Arial"/>
                <w:sz w:val="13"/>
                <w:szCs w:val="13"/>
                <w:color w:val="auto"/>
              </w:rPr>
              <w:t>Other</w:t>
            </w:r>
          </w:p>
        </w:tc>
        <w:tc>
          <w:tcPr>
            <w:tcW w:w="5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2,591</w:t>
            </w:r>
          </w:p>
        </w:tc>
        <w:tc>
          <w:tcPr>
            <w:tcW w:w="2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1,391</w:t>
            </w:r>
          </w:p>
        </w:tc>
        <w:tc>
          <w:tcPr>
            <w:tcW w:w="40" w:type="dxa"/>
            <w:vAlign w:val="bottom"/>
          </w:tcPr>
          <w:p>
            <w:pPr>
              <w:spacing w:after="0"/>
              <w:rPr>
                <w:sz w:val="12"/>
                <w:szCs w:val="12"/>
                <w:color w:val="auto"/>
              </w:rPr>
            </w:pPr>
          </w:p>
        </w:tc>
      </w:tr>
      <w:tr>
        <w:trPr>
          <w:trHeight w:val="182"/>
        </w:trPr>
        <w:tc>
          <w:tcPr>
            <w:tcW w:w="66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Accrued expenses and other current liabilities</w:t>
            </w:r>
          </w:p>
        </w:tc>
        <w:tc>
          <w:tcPr>
            <w:tcW w:w="500" w:type="dxa"/>
            <w:vAlign w:val="bottom"/>
            <w:tcBorders>
              <w:bottom w:val="single" w:sz="8" w:color="auto"/>
            </w:tcBorders>
            <w:shd w:val="clear" w:color="auto" w:fill="CFF0FC"/>
          </w:tcPr>
          <w:p>
            <w:pPr>
              <w:jc w:val="right"/>
              <w:ind w:right="357"/>
              <w:spacing w:after="0" w:line="142" w:lineRule="exact"/>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12,562</w:t>
            </w:r>
          </w:p>
        </w:tc>
        <w:tc>
          <w:tcPr>
            <w:tcW w:w="2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717"/>
              <w:spacing w:after="0" w:line="142" w:lineRule="exact"/>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7,416</w:t>
            </w:r>
          </w:p>
        </w:tc>
        <w:tc>
          <w:tcPr>
            <w:tcW w:w="4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342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342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9 was previously reported in our Current Report on Form 8-K that was filed with the Securities and Exchange Commission on June 23,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Disclosure Controls and Procedures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the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Form 10-K,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at the reasonable assurance level as of December 31, 2021 due to the material weaknesses in our internal control over financial reporting described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a reasonable possibility exists that a material misstatement of our annual or interim financial statements could not be prevented or detected on a timely basis. We have identified material weaknesses in our controls related to the following (a) the aggregation of open control deficiencies across the Company’s financial reporting processes because the controls were not fully designed and operating effectively, (b) not fully designing, implementing and monitoring general information technology controls in the areas of user access and program change-management for systems supporting all of the Company’s internal control processes and (c) our controls on accounting for complex financial instruments such as warrants, did not operate effectively to appropriately apply the provisions of ASC 815-40, resulting in the failure to prevent a material error in our accounting for warrants and the resulting restatement of our previously issued financial statements.</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on April 12, 2021, the Acting Director of the Division of Corporation Finance and Acting Chief Accountant of the SEC together issued a statement (the “SEC Statement”) regarding the accounting and reporting considerations for warrants issued by special purpose acquisition companies entitled “Staff Statement on Accounting and Reporting Considerations for Warrants Issued by Special Purpose Acquisition Companies (“SPACs”). Specifically, the SEC Statement focused on certain settlement terms and provisions related to certain tender offers following a business combination, which terms are similar to those contained in the Warrant Agreement governing our warrants and the HEC Forward Purchase Agreement. Following the issuance of the SEC Statement, on May 4, 2021, HEC concluded that it was appropriate to restate its previously issued audited financial statements as of December 31, 2020 and for the period from February 6, 2020 (inception) through December 31, 2020, as well as its financial data as of June 11, 2020, and as part of such process, HEC identified a material weakness in its internal control over financial reporting. As the accounting acquirer in the Business Combination, we inherited this material weakness and the warrants.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light of these material weaknesses, we performed additional analysis as deemed necessary to ensure that our financial statements were prepared in accordance with U.S. generally accepted accounting principles. Accordingly, management believes that the financial statements included in this Form 10-K present fairly in all material respects our financial position, results of operations and cash flows for the periods presented.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Activities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currently are implementing several actions, as described below, to remediate the material weaknesses described in this Item 9A. Management is committed to ensuring that our internal controls over financial reporting are designed and operating effectively.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Reporting</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continue to make progress on our automated and manual business process controls, including reports generated from these IT systems, that are dependent upon the completeness and accuracy of information from the affected ITGC material weakness. We are leveraging these improvements in the design of our future state processes and controls within our new enterprise resource planning (“ERP”) system, which is expected to go live during the first half of 2022. Our remediation plan includes, but is not limited to:</w:t>
      </w:r>
    </w:p>
    <w:p>
      <w:pPr>
        <w:spacing w:after="0" w:line="80" w:lineRule="exact"/>
        <w:rPr>
          <w:sz w:val="20"/>
          <w:szCs w:val="20"/>
          <w:color w:val="auto"/>
        </w:rPr>
      </w:pPr>
    </w:p>
    <w:p>
      <w:pPr>
        <w:ind w:left="760" w:hanging="378"/>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Frequent communications between our Audit Committee and management regarding our financial reporting and internal control environment;</w:t>
      </w:r>
    </w:p>
    <w:p>
      <w:pPr>
        <w:spacing w:after="0" w:line="126" w:lineRule="exact"/>
        <w:rPr>
          <w:rFonts w:ascii="Arial" w:cs="Arial" w:eastAsia="Arial" w:hAnsi="Arial"/>
          <w:sz w:val="16"/>
          <w:szCs w:val="16"/>
          <w:color w:val="auto"/>
        </w:rPr>
      </w:pPr>
    </w:p>
    <w:p>
      <w:pPr>
        <w:ind w:left="760" w:hanging="378"/>
        <w:spacing w:after="0" w:line="261"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planned expansion of the finance, accounting, reporting and information technology teams through the addition of experienced and qualified resources;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planned improvement of the process and controls in the determination of the appropriate accounting and classification of our financial instruments and key agreements;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Delivery of additional internal controls training, as well as policy and control standardization where possible;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Re-designed internal controls processes as part of our Sarbanes-Oxley program to drive accountability and efficiency;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Instituted monthly review of financial statements to evaluate results, observe adherence to policies and agree on necessary actions;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Engaged outside resources to assist with the design and implementation of a risk-based internal controls plan, enhance process documentation, provide company-wide training, and help with management's self-assessment and testing of internal controls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 General Controls (“ITGCs”)</w:t>
      </w:r>
    </w:p>
    <w:p>
      <w:pPr>
        <w:spacing w:after="0" w:line="104"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We continue to make progress in advancing foundational elements of our ITGCs as it relates to financial reporting. We are leveraging these foundational elements in the design of our future state processes and controls within our new ERP system. Our remediation plan includes, but is not limited to:</w:t>
      </w:r>
    </w:p>
    <w:p>
      <w:pPr>
        <w:spacing w:after="0" w:line="16" w:lineRule="exact"/>
        <w:rPr>
          <w:sz w:val="20"/>
          <w:szCs w:val="20"/>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Implementing new, relevant IT systems related to our revenue processes and financial reporting;</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Implementing improved IT change management policies and procedures, control activities, and tools impacting financial reporting to ensure changes affecting financial IT applications are identified, authorized, tested, and implemented appropriately;</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Implementing improved processes for requesting, authorizing, and reviewing user access to key systems which impact our financial reporting, including identifying access to roles where manual business process controls may be required;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Implementing appropriate segregation of duties in relevant systems that impact internal control over financial reporting;</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Increasing resources dedicated to monitoring ITGCs related to financial reporting to ensure compliance with policies and procedures; and</w:t>
      </w:r>
    </w:p>
    <w:p>
      <w:pPr>
        <w:spacing w:after="0" w:line="115" w:lineRule="exact"/>
        <w:rPr>
          <w:rFonts w:ascii="Arial" w:cs="Arial" w:eastAsia="Arial" w:hAnsi="Arial"/>
          <w:sz w:val="17"/>
          <w:szCs w:val="17"/>
          <w:color w:val="auto"/>
        </w:rPr>
      </w:pPr>
    </w:p>
    <w:p>
      <w:pPr>
        <w:ind w:left="760" w:hanging="378"/>
        <w:spacing w:after="0" w:line="244"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Implementing additional training to ensure a clear understanding of risk assessment and monitoring activities related to automated processes and IT systems and ITGCs related to financial reporting.</w:t>
      </w: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Complex accounting requirements (such as warrants)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intend to address this material weakness by enhancing our processes to identify and appropriately apply applicable accounting requirements to better evaluate our research and understanding of the nuances of the complex accounting standards that apply to our financial statements. We intend to provide enhanced access to accounting literature, research materials and documents and increased communication among our personnel and third-party professionals with whom we consult regarding complex accounting applications. We have also retained the services of a valuation expert to assist in valuation analysis of our warrants on a quarterly basis.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When fully implemented and operational, we believe the controls we have designed or plan to design will remediate the control deficiencies that have led to the material weaknesses we have identified and strengthen our internal controls over financial reporting.</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material weaknesses will not be considered remediated until the applicable controls operate for a sufficient period of time and management has concluded, through testing, that these controls are operating effectively.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than as described above, there were no changes in our internal control over financial reporting (as such term is defined in Rules 13a-15(f) and 15d-15(f) of the Exchange Act) during the quarter ended December 31, 2021 that have materially affected, or are reasonably likely to materially affect, our internal control over financial reporting.</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disclosed elsewhere in this Annual Report on Form 10-K, we completed the Business Combination on June 22, 2021. Prior to the Business Combination, our predecessor, HEC, was a special purpose acquisition company formed for the purpose of effecting a merger, capital stock exchange, asset acquisition, stock purchase, recapitalization, reorganization, or similar business combination with one or more businesses. As a result, previously existing internal controls were no longer applicable or comprehensive enough as of the assessment date, as HEC’s operations prior to the Business Combination were insignificant compared to those of the consolidated entity post-Business Combination. Therefore, management was unable, without incurring unreasonable effort or expense, to complete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 As a result, this Annual Report on Form 10-K also does not include an attestation report of our independent registered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ind w:right="3140"/>
        <w:spacing w:after="0" w:line="309"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PART III</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provides information regarding our executive officers and members of our board of directors (ages as of the date of this Annual Report on Form 10-K):</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Age</w:t>
            </w:r>
          </w:p>
        </w:tc>
        <w:tc>
          <w:tcPr>
            <w:tcW w:w="120" w:type="dxa"/>
            <w:vAlign w:val="bottom"/>
          </w:tcPr>
          <w:p>
            <w:pPr>
              <w:spacing w:after="0"/>
              <w:rPr>
                <w:sz w:val="18"/>
                <w:szCs w:val="18"/>
                <w:color w:val="auto"/>
              </w:rPr>
            </w:pPr>
          </w:p>
        </w:tc>
        <w:tc>
          <w:tcPr>
            <w:tcW w:w="5040" w:type="dxa"/>
            <w:vAlign w:val="bottom"/>
            <w:tcBorders>
              <w:bottom w:val="single" w:sz="8" w:color="auto"/>
            </w:tcBorders>
          </w:tcPr>
          <w:p>
            <w:pPr>
              <w:ind w:left="2240"/>
              <w:spacing w:after="0"/>
              <w:rPr>
                <w:sz w:val="20"/>
                <w:szCs w:val="20"/>
                <w:color w:val="auto"/>
              </w:rPr>
            </w:pPr>
            <w:r>
              <w:rPr>
                <w:rFonts w:ascii="Arial" w:cs="Arial" w:eastAsia="Arial" w:hAnsi="Arial"/>
                <w:sz w:val="16"/>
                <w:szCs w:val="16"/>
                <w:b w:val="1"/>
                <w:bCs w:val="1"/>
                <w:color w:val="auto"/>
              </w:rPr>
              <w:t>Position</w:t>
            </w:r>
          </w:p>
        </w:tc>
      </w:tr>
      <w:tr>
        <w:trPr>
          <w:trHeight w:val="188"/>
        </w:trPr>
        <w:tc>
          <w:tcPr>
            <w:tcW w:w="5180" w:type="dxa"/>
            <w:vAlign w:val="bottom"/>
          </w:tcPr>
          <w:p>
            <w:pPr>
              <w:ind w:left="20"/>
              <w:spacing w:after="0" w:line="188" w:lineRule="exact"/>
              <w:rPr>
                <w:sz w:val="20"/>
                <w:szCs w:val="20"/>
                <w:color w:val="auto"/>
              </w:rPr>
            </w:pPr>
            <w:r>
              <w:rPr>
                <w:rFonts w:ascii="Arial" w:cs="Arial" w:eastAsia="Arial" w:hAnsi="Arial"/>
                <w:sz w:val="18"/>
                <w:szCs w:val="18"/>
                <w:color w:val="auto"/>
              </w:rPr>
              <w:t>Douglas L. Braunstein</w:t>
            </w:r>
          </w:p>
        </w:tc>
        <w:tc>
          <w:tcPr>
            <w:tcW w:w="220" w:type="dxa"/>
            <w:vAlign w:val="bottom"/>
          </w:tcPr>
          <w:p>
            <w:pPr>
              <w:spacing w:after="0"/>
              <w:rPr>
                <w:sz w:val="16"/>
                <w:szCs w:val="16"/>
                <w:color w:val="auto"/>
              </w:rPr>
            </w:pPr>
          </w:p>
        </w:tc>
        <w:tc>
          <w:tcPr>
            <w:tcW w:w="680" w:type="dxa"/>
            <w:vAlign w:val="bottom"/>
          </w:tcPr>
          <w:p>
            <w:pPr>
              <w:jc w:val="center"/>
              <w:spacing w:after="0" w:line="188" w:lineRule="exact"/>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16"/>
                <w:szCs w:val="16"/>
                <w:color w:val="auto"/>
              </w:rPr>
            </w:pPr>
          </w:p>
        </w:tc>
        <w:tc>
          <w:tcPr>
            <w:tcW w:w="5040" w:type="dxa"/>
            <w:vAlign w:val="bottom"/>
          </w:tcPr>
          <w:p>
            <w:pPr>
              <w:spacing w:after="0" w:line="188" w:lineRule="exact"/>
              <w:rPr>
                <w:sz w:val="20"/>
                <w:szCs w:val="20"/>
                <w:color w:val="auto"/>
              </w:rPr>
            </w:pPr>
            <w:r>
              <w:rPr>
                <w:rFonts w:ascii="Arial" w:cs="Arial" w:eastAsia="Arial" w:hAnsi="Arial"/>
                <w:sz w:val="18"/>
                <w:szCs w:val="18"/>
                <w:color w:val="auto"/>
              </w:rPr>
              <w:t>Interim Chief Executive Officer and Director</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Jennifer Fulk</w:t>
            </w:r>
          </w:p>
        </w:tc>
        <w:tc>
          <w:tcPr>
            <w:tcW w:w="9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Samara H. Braunstein</w:t>
            </w:r>
          </w:p>
        </w:tc>
        <w:tc>
          <w:tcPr>
            <w:tcW w:w="9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Chief Marketing Officer</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Gil Margolin</w:t>
            </w:r>
          </w:p>
        </w:tc>
        <w:tc>
          <w:tcPr>
            <w:tcW w:w="9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Chief Technology Officer</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Erin Boyd</w:t>
            </w:r>
          </w:p>
        </w:tc>
        <w:tc>
          <w:tcPr>
            <w:tcW w:w="9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Chief Growth Officer</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John C. Reilly</w:t>
            </w:r>
          </w:p>
        </w:tc>
        <w:tc>
          <w:tcPr>
            <w:tcW w:w="9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General Counsel</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Jeffrey M. Crowe</w:t>
            </w:r>
          </w:p>
        </w:tc>
        <w:tc>
          <w:tcPr>
            <w:tcW w:w="9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Erez Shachar</w:t>
            </w:r>
          </w:p>
        </w:tc>
        <w:tc>
          <w:tcPr>
            <w:tcW w:w="9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2"/>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Curtis Warfield</w:t>
            </w:r>
          </w:p>
        </w:tc>
        <w:tc>
          <w:tcPr>
            <w:tcW w:w="9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Jacqueline Yeaney</w:t>
            </w:r>
          </w:p>
        </w:tc>
        <w:tc>
          <w:tcPr>
            <w:tcW w:w="9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Charles Berg</w:t>
            </w:r>
          </w:p>
        </w:tc>
        <w:tc>
          <w:tcPr>
            <w:tcW w:w="9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Madhu Pawar</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42</w:t>
            </w: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auto"/>
        </w:rPr>
        <w:t xml:space="preserve">Douglas L. Braunstein. </w:t>
      </w:r>
      <w:r>
        <w:rPr>
          <w:rFonts w:ascii="Arial" w:cs="Arial" w:eastAsia="Arial" w:hAnsi="Arial"/>
          <w:sz w:val="17"/>
          <w:szCs w:val="17"/>
          <w:color w:val="auto"/>
        </w:rPr>
        <w:t>Mr. Braunstein has served as Talkspace’s Interim Chief Executive Officer since November 2021 and has served as Chairman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Talkspace, Inc. board of directors since the consummation of the Business Combination. Mr. Braunstein is the Founder and a Managing Partner of Hudson Executive Capital. Prior to founding Hudson Executive Capital, Douglas L. Braunstein was the Chief Financial Officer of JPMorgan Chase &amp; Co., or JPMorgan Chase, from 2010 to 2012 and its Vice Chairman from 2013 to 2015. In the role of Chief Financial Officer, Mr. Braunstein led the firm’s global financial operations and navigated the evolving legislative and regulatory landscape in the immediate post-financial crisis environment and served on the firm’s Operating Committee. Prior to his role as Chief Financial Officer of JP Morgan Chase, Mr. Braunstein served in several other leadership roles during his approximately twenty-year career at JPMorgan Chase, including Head of Investment Banking in the Americas, responsible for investment banking and corporate finance in the U.S., Canada and Latin America, Head of Global M&amp;A and Global Industry Coverage and Head of Healthcare Investment Banking, as well as serving on the Investment Bank Management Committee for over ten years. We believe that Mr. Braunstein is qualified to serve as a member of our board of directors due to his extensive financial background, including service as chief financial officer, experience as a director and knowledge of the industry.</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 xml:space="preserve">Jennifer Fulk. </w:t>
      </w:r>
      <w:r>
        <w:rPr>
          <w:rFonts w:ascii="Arial" w:cs="Arial" w:eastAsia="Arial" w:hAnsi="Arial"/>
          <w:sz w:val="16"/>
          <w:szCs w:val="16"/>
          <w:color w:val="auto"/>
        </w:rPr>
        <w:t>Ms. Fulk has served as Talkspace’s Chief Financial Officer since July 2021. Prior to Talkspace, Ms. Fulk served as Chief Financial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Bio-Medicines at Eli Lilly and Company from June 2019 to July 2021. Prior to June 2019, Ms. Fulk served in various other roles during her 15-plus year career at Eli Lilly and Company, including as Senior Director, Investor Relations, from October 2018 to June 2019, Chief Financial Officer, North America, Elanco, from October 2016 to October 2018 and Senior Director, Global Finance and Integration, Elanco, from September 2014 to October 2016. Ms. Fulk received her Bachelor of Science in Information Systems and her Masters of Business Administration from Indiana University.</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Samara Braunstein. </w:t>
      </w:r>
      <w:r>
        <w:rPr>
          <w:rFonts w:ascii="Arial" w:cs="Arial" w:eastAsia="Arial" w:hAnsi="Arial"/>
          <w:sz w:val="17"/>
          <w:szCs w:val="17"/>
          <w:color w:val="auto"/>
        </w:rPr>
        <w:t>Ms. Braunstein has served as Talkspace’s Chief Marketing Officer since December 2020. Prior to Talkspace, Ms. Braunstein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Revenue Officer for Concertiv, a decision-support platform that provides data analytics, group purchasing, and managed services to professional services firms and their key suppliers, from 2019 to 2020. Ms. Braunstein was the CEO and Founder of Wellgate Products, LLC, an orthopedic device company which grew to become one of the largest brands in its category before its sale to a strategic buyer, from 2004 to 2008. She has served in marketing and leadership roles at HigherOne Holdings, Inc, AOL TimeWarner, Warner Lambert, Revlon and HudsonView Group Associates LLC, and in Finance roles at predecessor companies to GTCR, LLC and Credit Suisse Group AG. Ms. Braunstein currently serves on the Board of Directors for Candesant Biomedical. Ms. Braunstein holds a B.A. from University of Michigan.</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Gil Margolin. </w:t>
      </w:r>
      <w:r>
        <w:rPr>
          <w:rFonts w:ascii="Arial" w:cs="Arial" w:eastAsia="Arial" w:hAnsi="Arial"/>
          <w:sz w:val="18"/>
          <w:szCs w:val="18"/>
          <w:color w:val="auto"/>
        </w:rPr>
        <w:t>Mr. Margolin has served as Talkspace’s Chief Technology Officer since April 2014. Prior to Talkspace, Mr. Margolin served as the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Product Management at Deutsche Telekom AG, a telecommunications company, from October 2012 to April 2014. Prior to that, Mr. Margolin served as Director of Product Management at SupportSpace, 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cloud-based remote services company, from October 2011 to November 2012. Mr. Margolin previously held several roles at Amdocs, a software and services provider to communications and media companies, including as Director of Product Management from October 2009 to November 2011, Architecture Manager from 2007 to 2009, and Engineering Manager from 2004 to 2007. Mr. Margolin holds a B.S. in Computer Science from the University of Tel Aviv.</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 xml:space="preserve">John Reilly. </w:t>
      </w:r>
      <w:r>
        <w:rPr>
          <w:rFonts w:ascii="Arial" w:cs="Arial" w:eastAsia="Arial" w:hAnsi="Arial"/>
          <w:sz w:val="16"/>
          <w:szCs w:val="16"/>
          <w:color w:val="auto"/>
        </w:rPr>
        <w:t>Mr. Reilly has served as Talkspace’s Corporate and then General Counsel since March 2011. Prior to Talkspace, Mr. Reilly was a partner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Hilltop Holdings from 2004-2011, where he managed hospitality and real estate investments for private portfolio investors and acted as a fractional general counsel to several start-up companies. Mr. Reilly previously served as President of Highland Development Corporation, a real estate development company, from 1999 to 2003 where he partnered to build and operate congregate care campuses. Mr. Reilly also previously held several roles at Kapson Senior Quarters Corp., a publicly traded assisted living company, including as Senior Vice President of Acquisitions and Development from 1998 to 1999, Vice President of Development from 1997 to 1998 and Corporate Counsel from 1996 to 1997. Mr. Reilly started his career as a legal associate at Squire, Sanders &amp; Dempsey in Washington DC. Mr. Reilly holds a J.D. from Boston College Law School and a B.A. from the University of Virginia.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Jeffrey Crowe. </w:t>
      </w:r>
      <w:r>
        <w:rPr>
          <w:rFonts w:ascii="Arial" w:cs="Arial" w:eastAsia="Arial" w:hAnsi="Arial"/>
          <w:sz w:val="18"/>
          <w:szCs w:val="18"/>
          <w:color w:val="auto"/>
        </w:rPr>
        <w:t>Mr. Crowe has served as a member of Talkspace’s board of directors since May 2016. Mr. Crowe was CEO-in-residence with Norwest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Partners from January 2002 to December 2003, joined the firm as a Venture Partner in January 2004, became a General Partner in January 2005 and has served as Managing Partner of the firm since January 2013. From December 1999 to April 2001, Mr. Crowe served as President, Chief Operating Officer and Director of DoveBid, a privately held business auction firm. From May 1990 to November 1999, Mr. Crowe served as Chief Executive Officer of Edify Corporation (EDFY), a publicly traded enterprise software company. Mr. Crowe currently serves on the boards of several private companies. Mr. Crowe holds an M.B.A. from the Stanford Graduate School of Business and a B.A. in history from Dartmouth College. We believe that Mr. Crowe is qualified to serve as a member of our board of directors due to his extensive experience as an investor, director and officer of a number of technology companies.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 xml:space="preserve">Erez Shachar. </w:t>
      </w:r>
      <w:r>
        <w:rPr>
          <w:rFonts w:ascii="Arial" w:cs="Arial" w:eastAsia="Arial" w:hAnsi="Arial"/>
          <w:sz w:val="16"/>
          <w:szCs w:val="16"/>
          <w:color w:val="auto"/>
        </w:rPr>
        <w:t>Mr. Shachar has served as a member of Talkspace’s board of directors since August 2017. Mr. Shachar is the co-founder and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of Qumra Capital Management Ltd., a venture capital firm founded in 2014. Since 2004, Mr. Shachar has also served as managing partner of Evergreen Venture Partners Ltd., a venture capital firm, focusing on investment opportunities in technology companies. Mr. Shachar currently serves as a member of the board of directors of several private companies. Mr. Shachar holds a B.Sc from Tel Aviv University in Israel and M.B.A. from the INSEAD Business School. We believe that Mr. Shachar is qualified to serve as a member of our board of directors due to his extensive experience as an investor in many technology, high-growth, companies and his service as a director of several public and private companies.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Curtis Warfield. </w:t>
      </w:r>
      <w:r>
        <w:rPr>
          <w:rFonts w:ascii="Arial" w:cs="Arial" w:eastAsia="Arial" w:hAnsi="Arial"/>
          <w:sz w:val="18"/>
          <w:szCs w:val="18"/>
          <w:color w:val="auto"/>
        </w:rPr>
        <w:t>Mr. Warfield has served as a member of Talkspace, Inc.’s board of directors since the consummation of the Business Combination.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2016, Mr. Warfield has served as founder, President and Chief Executive Officer of Windham Advisors LLC, a management and strategic advisory firm that offers innovative business solutions for companies in the healthcare, BPO (Business Process Outsourcing) and other industries. Mr. Warfield previously served as part of the senior leadership team of Anthem, Inc., one of the nation’s largest health insurers from August 2017 to November 2019. From 2007 until 2015, Mr. Warfield served as CEO of NPAS, a healthcare services company. Since August 2018, Mr. Warfield has served on the board of directors of Texas Roadhouse, Inc., a restaurant company, and has served on the board of OneOncology, a network of oncology practices, since 2021. Mr. Warfield holds a B.S. from the University of Louisville, Kentucky and is a Certified Public Accountant. We believe that Mr. Warfield is qualified to serve as a member of our board of directors due to his extensive experience as an executive of healthcare companies and his service as a director of a public company.</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i w:val="1"/>
          <w:iCs w:val="1"/>
          <w:color w:val="auto"/>
        </w:rPr>
        <w:t xml:space="preserve">Jacqueline Yeaney. </w:t>
      </w:r>
      <w:r>
        <w:rPr>
          <w:rFonts w:ascii="Arial" w:cs="Arial" w:eastAsia="Arial" w:hAnsi="Arial"/>
          <w:sz w:val="17"/>
          <w:szCs w:val="17"/>
          <w:color w:val="auto"/>
        </w:rPr>
        <w:t>Ms. Yeaney has served as a member of Talkspace, Inc.’s board of directors since the consummation of the Business Combination.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August 2019, Ms. Yeaney has served as the Executive Vice President of Marketing at Tableau Software, LLC, a self-service analytics platform owned by Salesforce.com, Inc. From January 2017 until April 2019, Ms. Yeaney was the Chief Marketing Officer of Ellucian Inc., a provider of software and services for higher education management, and from May 2011 until December 2016, was the Executive Vice President of Strategy and Marketing of Red Hat, Inc, a provider of open source software solutions now owned by IBM. Ms. Yeaney started her career as an officer in the U.S. Air Force, and then spent several years as a management consultant at the Boston Consulting Group. Ms. Yeaney has served as a board member of Avaya Holdings Corp., a provider of digital communications products, solutions and services, since March 2019. Ms. Yeaney holds a B.S. in electrical engineering from Rensselaer Polytechnic Institute and an M.B.A. from the Massachusetts Institute of Technology. We believe that Ms. Yeaney is qualified to serve as a member of our board of directors due to her extensive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experience as an executive of high-growth technology companies, her extensive experience as a management consultant and her experience as a board member of a public company.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auto"/>
        </w:rPr>
        <w:t xml:space="preserve">Charles Berg. </w:t>
      </w:r>
      <w:r>
        <w:rPr>
          <w:rFonts w:ascii="Arial" w:cs="Arial" w:eastAsia="Arial" w:hAnsi="Arial"/>
          <w:sz w:val="16"/>
          <w:szCs w:val="16"/>
          <w:color w:val="auto"/>
        </w:rPr>
        <w:t>Mr. Berg has served as a member of Talkspace, Inc.’s board of directors since the consummation of the Business Combination.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2022, Mr. Berg has been the President of U.S. Government Business and Senior Advisor Leading Medicare Advantage and Individual &amp; Family Plans at Cigna Corporation. Since March 2007, Mr. Berg has been a director of DaVita Inc., a publicly listed international dialysis provider, and between 2016 and 2017 he served as the Executive Chair of DaVita Medical Group. Mr. Berg currently sits on the board of directors of CareCentrix, Inc., a care management provider to health plan members who require post-acute or home care services. Mr. Berg currently serves as a member of the Operating Council &amp; Senior Advisory Board of Consonance Capital Partners, a private equity firm, and as a director of Justworks, Inc., a private human resources and payment company. From 2008 to 2013, Mr. Berg served as Executive Chairman of WellCare Health Plans, Inc., a provider of managed care services for government-sponsored healthcare programs. Prior to his role at WellCare Health Plans, Inc., Mr. Berg held various executive positions with Oxford Health Plans, Inc., a health benefit plan provider. He was executive vice president, medical delivery, and subsequently president and CEO when the plan was acquired by UnitedHealth Group. Mr. Berg then became an executive of UnitedHealth Group and was primarily responsible for integrating the Oxford business. Mr. Berg holds a J.D. from Georgetown University Law Center and a B.A. in political science from Macalester College. We believe that Mr. Berg is qualified to serve as a member of our board of directors due to his leadership experience throughout the healthcare industry, and will contribute senior-level experience in building and scaling payer and provider-centric businesses across the country.</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 xml:space="preserve">Madhu Pawar. </w:t>
      </w:r>
      <w:r>
        <w:rPr>
          <w:rFonts w:ascii="Arial" w:cs="Arial" w:eastAsia="Arial" w:hAnsi="Arial"/>
          <w:sz w:val="16"/>
          <w:szCs w:val="16"/>
          <w:color w:val="auto"/>
        </w:rPr>
        <w:t>Ms. Pawar has served as a member of Talkspace, Inc.’s board of directors since the consummation of the Business Combination. Ms. Pawar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Managing Director at Google LLC, where she has served since 2018, and is the Adjunct Professor of Analytics in Healthcare at Carnegie Mellon University, where she has served since 2020. At Google, Ms. Pawar manages the sales analytics and solutions organizations that drive the small and medium business (SMB) Adwords business, with a focus on machine learning and user experience. Prior to joining Google, Ms. Pawar worked at McKinsey &amp; Company for 12 years where she was a Partner in the healthcare systems and services practice. She began her career in software development as part of the Mobile Technologies division of Hewlett Packard’s Research &amp; Development Labs in Singapore. Ms. Pawar has previously served on the board of directors of Mensa Singapore and GirlVentures, a not-for-profit organization. Ms. Pawar holds a Master’s degree in Information Systems Management from Carnegie Mellon University and a Bachelor’s degree in Computer Science from Nanyang Technological University, Singapore. We believe that Ms. Pawar is qualified to serve as a member of our board of directors due to her extensive experience as an executive of high-growth technology companies and her extensive experience as a management consultant in the healthcare industry.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Except for Douglas Braunstein and Samara Braunstein, who are married to one another, there are no family relationships among our directors and executive officers.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 code of ethics that applies to all of our executive officers, directors and employees, including our principal executive officer, principal financial officer, principal accounting officer or controller or persons performing similar functions. The code of ethics are available on our website, www.talkspace.com. We intend to make any legally required disclosures regarding amendments to, or waivers of, provisions of our code of ethics on our website rather than by filing a Current Report on Form 8-K.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 separately-designated standing audit committee (“Audit Committee”) that consists of Jeffrey Crowe, Madhu Pawar, Curtis Warfield, and Jacqueline Yeaney, with Curtis Warfield serving as the chair of the Audit Committee. Our board of directors has determined that all members of the Audit Committee (Jeffrey Crowe, Madhu Pawar, Curtis Warfield, and Jacqueline Yeaney) are independent directors under the Nasdaq rules and the additional independence standards applicable to audit committee members established pursuant to Rule 10A-3 under the Exchange Act. Our board of directors has also determined that each of Jeffrey Crowe, Madhu Pawar, Curtis Warfield, and Jacqueline Yeaney meets the “financial literacy” requirement for audit committee members under the Nasdaq Stock Market rules and Curtis Warfield is an “audit committee financial expert” within the meaning of the SEC rules.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2021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2021 other than the following forms that were inadvertently filed late: (i) one Form 4 for Mark Hirshhorn reporting two transactions, which was filed late with respect to one of those transactions, (ii) one Form 4 for Charles Berg reporting one transaction, (iii) one Form 4 for Jacqueline Yeaney reporting one transaction, (iv) one Form 4 for Samara Braunstein reporting two transactions, which was filed late with respect to one of those transactions,</w:t>
      </w:r>
    </w:p>
    <w:p>
      <w:pPr>
        <w:spacing w:after="0" w:line="5" w:lineRule="exact"/>
        <w:rPr>
          <w:sz w:val="20"/>
          <w:szCs w:val="20"/>
          <w:color w:val="auto"/>
        </w:rPr>
      </w:pPr>
    </w:p>
    <w:p>
      <w:pPr>
        <w:jc w:val="both"/>
        <w:ind w:firstLine="8"/>
        <w:spacing w:after="0" w:line="264" w:lineRule="auto"/>
        <w:tabs>
          <w:tab w:leader="none" w:pos="2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one Form 4 for Curtis Warfield reporting one transaction, (vi) one Form 4 for Roni Frank reporting two transactions, which was filed late with respect to one of those transactions, (vii) one Form 4 for John C. Reilly reporting two transactions, which was filed late with respect to one of those transactions,</w:t>
      </w:r>
    </w:p>
    <w:p>
      <w:pPr>
        <w:jc w:val="both"/>
        <w:ind w:firstLine="8"/>
        <w:spacing w:after="0" w:line="239" w:lineRule="auto"/>
        <w:tabs>
          <w:tab w:leader="none" w:pos="4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 Form 4 for Madhu Pawar reporting one transaction, (ix) one Form 4 for Gil Margolin reporting two transactions, which was filed late with respect to one of those transactions, and (x) one Form 4 for Douglas Braunstein, Hudson Executive Capital and HEC Management GP LLC reporting one transaction.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COMPENSATION DISCUSSION AND ANALYSIS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this Compensation Discussion and Analysis (“CD&amp;A”), we provide an overview and analysis of the compensation awarded to or earned by our named executive officers identified in the Summary Compensation Table below (each, an “NEO”) during fiscal 2021, including the elements of our compensation program for NEOs, material compensation decisions made under that program for fiscal 2021 and the material factors considered in making those decisions. Our NEOs for the year ended December 31, 2021 are:</w:t>
      </w:r>
    </w:p>
    <w:p>
      <w:pPr>
        <w:spacing w:after="0" w:line="80"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Douglas L. Braunstein, our Interim Chief Executive Officer;</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Oren Frank, our former Chief Executive Officer;</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Jennifer Fulk, our Chief Financial Officer;</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 Hirschhorn, our former President, Chief Financial Officer, and Chief Operating Officer;</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Samara H. Braunstein, our Chief Marketing Officer;</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Gil Margolin, our Chief Technology Officer;</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John C. Reilly, our General Counsel;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Roni Frank, our former Head of Clinical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Highlights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May 28, 2021, the Business Combination closed and we transitioned into becoming a new public company. In connection with the Business Combination, we engaged Meridian Compensation Partners (“Meridian”) as our independent compensation consultant to help structure a competitive executive compensation program from a public company perspective.</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November 15, 2021, we announced the departure of Oren Frank and Roni Frank from their roles as Chief Executive Officer and Head of Clinical Services, respectively, and as members of our board of directors (the “Board”). Also effective as of November 15, 2021, the Board appointed Douglas Braunstein, Chairman of the Board, to serve as Interim Chief Executive Officer while the Board conducts a formal search for a permanent chief executive officer to succeed Mr. Frank. Mr. Braunstein will not receive any additional compensation for his role as Interim Chief Executive Officer and remains Chairman of the Board.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On November 22, 2021, we announced the resignation of Mark Hirschhorn from his role as President and Chief Operating Officer.</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a general matter, our executive compensation program consists of annual base salary, target cash bonus opportunities, and equity-based long-term incentives. This CD&amp;A provides a description of each of these elements for the fiscal year ending December 31, 2021. We will continue to evaluate, develop, and grow our executive compensation program as we progress as a newly public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Governance and Best Practices</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committed to having strong governance standards with respect to our compensation programs, procedures and practices. Our key compensation practices include the following:</w:t>
      </w:r>
    </w:p>
    <w:p>
      <w:pPr>
        <w:sectPr>
          <w:pgSz w:w="11900" w:h="16838" w:orient="portrait"/>
          <w:cols w:equalWidth="0" w:num="1">
            <w:col w:w="11240"/>
          </w:cols>
          <w:pgMar w:left="320" w:top="125" w:right="339" w:bottom="1440" w:gutter="0" w:footer="0" w:header="0"/>
        </w:sectPr>
      </w:pP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What We Do</w:t>
      </w:r>
    </w:p>
    <w:p>
      <w:pPr>
        <w:spacing w:after="0" w:line="2" w:lineRule="exact"/>
        <w:rPr>
          <w:sz w:val="20"/>
          <w:szCs w:val="20"/>
          <w:color w:val="auto"/>
        </w:rPr>
      </w:pPr>
    </w:p>
    <w:p>
      <w:pPr>
        <w:ind w:left="20" w:right="480"/>
        <w:spacing w:after="0" w:line="211" w:lineRule="auto"/>
        <w:rPr>
          <w:sz w:val="20"/>
          <w:szCs w:val="20"/>
          <w:color w:val="auto"/>
        </w:rPr>
      </w:pPr>
      <w:r>
        <w:rPr>
          <w:rFonts w:ascii="Arial" w:cs="Arial" w:eastAsia="Arial" w:hAnsi="Arial"/>
          <w:sz w:val="18"/>
          <w:szCs w:val="18"/>
          <w:color w:val="auto"/>
        </w:rPr>
        <w:t>Emphasize the use of equity compensation to promote executive retention and reward long-term value creation.</w:t>
      </w:r>
    </w:p>
    <w:p>
      <w:pPr>
        <w:spacing w:after="0" w:line="1" w:lineRule="exact"/>
        <w:rPr>
          <w:sz w:val="20"/>
          <w:szCs w:val="20"/>
          <w:color w:val="auto"/>
        </w:rPr>
      </w:pPr>
    </w:p>
    <w:p>
      <w:pPr>
        <w:ind w:left="20" w:right="60"/>
        <w:spacing w:after="0" w:line="211" w:lineRule="auto"/>
        <w:rPr>
          <w:sz w:val="20"/>
          <w:szCs w:val="20"/>
          <w:color w:val="auto"/>
        </w:rPr>
      </w:pPr>
      <w:r>
        <w:rPr>
          <w:rFonts w:ascii="Arial" w:cs="Arial" w:eastAsia="Arial" w:hAnsi="Arial"/>
          <w:sz w:val="18"/>
          <w:szCs w:val="18"/>
          <w:color w:val="auto"/>
        </w:rPr>
        <w:t>Weight the overall pay mix towards incentive compensation for senior executives.</w:t>
      </w:r>
    </w:p>
    <w:p>
      <w:pPr>
        <w:spacing w:after="0" w:line="1" w:lineRule="exact"/>
        <w:rPr>
          <w:sz w:val="20"/>
          <w:szCs w:val="20"/>
          <w:color w:val="auto"/>
        </w:rPr>
      </w:pPr>
    </w:p>
    <w:p>
      <w:pPr>
        <w:ind w:left="20" w:right="640"/>
        <w:spacing w:after="0" w:line="211" w:lineRule="auto"/>
        <w:rPr>
          <w:sz w:val="20"/>
          <w:szCs w:val="20"/>
          <w:color w:val="auto"/>
        </w:rPr>
      </w:pPr>
      <w:r>
        <w:rPr>
          <w:rFonts w:ascii="Arial" w:cs="Arial" w:eastAsia="Arial" w:hAnsi="Arial"/>
          <w:sz w:val="18"/>
          <w:szCs w:val="18"/>
          <w:color w:val="auto"/>
        </w:rPr>
        <w:t>Engage an independent compensation consultant to advise our Compensation Committee.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Maintain rigorous stock ownership guidelines and a clawback policy.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Objectives and Philosophy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We Do Not Do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Do not guarantee annual salary increases.</w:t>
      </w:r>
    </w:p>
    <w:p>
      <w:pPr>
        <w:spacing w:after="0" w:line="142" w:lineRule="exact"/>
        <w:rPr>
          <w:sz w:val="20"/>
          <w:szCs w:val="20"/>
          <w:color w:val="auto"/>
        </w:rPr>
      </w:pPr>
    </w:p>
    <w:p>
      <w:pPr>
        <w:ind w:right="1060"/>
        <w:spacing w:after="0" w:line="220" w:lineRule="auto"/>
        <w:rPr>
          <w:sz w:val="20"/>
          <w:szCs w:val="20"/>
          <w:color w:val="auto"/>
        </w:rPr>
      </w:pPr>
      <w:r>
        <w:rPr>
          <w:rFonts w:ascii="Arial" w:cs="Arial" w:eastAsia="Arial" w:hAnsi="Arial"/>
          <w:sz w:val="18"/>
          <w:szCs w:val="18"/>
          <w:color w:val="auto"/>
        </w:rPr>
        <w:t>Do not grant uncapped cash incentives or guaranteed equity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 not provide significant perquisites.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Do not provide any compensation-related tax gross-ups.</w:t>
      </w:r>
    </w:p>
    <w:p>
      <w:pPr>
        <w:spacing w:after="0" w:line="547" w:lineRule="exact"/>
        <w:rPr>
          <w:sz w:val="20"/>
          <w:szCs w:val="20"/>
          <w:color w:val="auto"/>
        </w:rPr>
      </w:pPr>
    </w:p>
    <w:p>
      <w:pPr>
        <w:sectPr>
          <w:pgSz w:w="11900" w:h="16838" w:orient="portrait"/>
          <w:cols w:equalWidth="0" w:num="2">
            <w:col w:w="5140" w:space="720"/>
            <w:col w:w="5380"/>
          </w:cols>
          <w:pgMar w:left="320" w:top="125" w:right="339" w:bottom="1440" w:gutter="0" w:footer="0" w:header="0"/>
          <w:type w:val="continuous"/>
        </w:sectPr>
      </w:pPr>
    </w:p>
    <w:p>
      <w:pPr>
        <w:jc w:val="both"/>
        <w:spacing w:after="0" w:line="248" w:lineRule="auto"/>
        <w:rPr>
          <w:sz w:val="20"/>
          <w:szCs w:val="20"/>
          <w:color w:val="auto"/>
        </w:rPr>
      </w:pPr>
      <w:r>
        <w:rPr>
          <w:rFonts w:ascii="Arial" w:cs="Arial" w:eastAsia="Arial" w:hAnsi="Arial"/>
          <w:sz w:val="18"/>
          <w:szCs w:val="18"/>
          <w:color w:val="auto"/>
        </w:rPr>
        <w:t>The key objective in our executive compensation program is to attract, motivate, and reward leaders who create an inclusive and diverse environment and have with the skills and experience necessary to successfully execute on our strategic plan to maximize stockholder value. Our executive compensation program is designed to:</w:t>
      </w:r>
    </w:p>
    <w:p>
      <w:pPr>
        <w:spacing w:after="0" w:line="74"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executives in a competitive and dynamic market;</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Motivate our NEOs to help our company achieve the best possible financial and operational results;</w:t>
      </w:r>
    </w:p>
    <w:p>
      <w:pPr>
        <w:spacing w:after="0" w:line="49"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reward opportunities consistent with our performance on both a short-term and long-term basis that are industry competitive, flexible, fiscally responsible, and linked to our overall business objectives; and</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Align the long-term interests of our NEOs with those of our stockholders.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We strive to set our overall total compensation at a competitive level. Executives may be compensated above or below the targeted market position based on factors such as experience, performance, scope of position and the competitive demand for proven executive talent, as described further below under </w:t>
      </w:r>
      <w:r>
        <w:rPr>
          <w:rFonts w:ascii="Arial" w:cs="Arial" w:eastAsia="Arial" w:hAnsi="Arial"/>
          <w:sz w:val="18"/>
          <w:szCs w:val="18"/>
          <w:i w:val="1"/>
          <w:iCs w:val="1"/>
          <w:color w:val="auto"/>
        </w:rPr>
        <w:t>“Determination of Executive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Board of Directors, the Compensation Committee, and Executive Officers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Compensation Committee is responsible for establishing and overseeing our executive compensation programs and will annually review and recommend to the Board for approval the compensation to be provided to our executive officers.</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setting executive compensation, the Compensation Committee will consider a number of factors, including the recommendations of our Chief Executive Officer (other than with respect to the Chief Executive Officer’s own compensation) and our human resources team, current and past total compensation, competitive market data and analysis provided by the Compensation Committee’s independent compensation consultant, Company performance and each executive’s impact on performance, each executive’s relative scope of responsibility and potential, each executive’s individual performance and demonstrated leadership, and internal equity pay considerations. Our Chief Executive Officer’s recommendations are based on his evaluation of each other executive officer’s individual performance and contributions, of which our Chief Executive Officer has direct knowledge. Our Board makes decisions regarding our Chief Executive Officer’s and other executive officers’ compensation, following recommendation from the Compensation Committee.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order to design a competitive executive compensation program that will continue to attract top executive talent and reflect our compensation philosophy, our Compensation Committee has retained Meridian as an independent compensation consultant to provide executive compensation advisory services, help evaluate our compensation philosophy and objectives and provide guidance in designing, maintaining, and administering our executive compensation program. The Compensation Committee has evaluated Meridian’s independence pursuant to the requirements of Nasdaq and SEC rules and has determined that Meridian does not have any conflicts of interest in advising the Compensation Committee. Meridian did not provide any other services to the Company in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in the process of developing a peer group with Meridian and we expect to refer to this peer group in structuring our executive compensation program for fiscal year 2022. Our Compensation Committee may also refer to compensation survey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NEOs’ compensation and the main objectives of each are:</w:t>
      </w:r>
    </w:p>
    <w:p>
      <w:pPr>
        <w:spacing w:after="0" w:line="104"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Base salary attracts and retains talented executives, recognizes individual roles and responsibilities, and provides stable income;</w:t>
      </w:r>
    </w:p>
    <w:p>
      <w:pPr>
        <w:spacing w:after="0" w:line="72"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Annual Cash Incentive Compensation</w:t>
      </w:r>
      <w:r>
        <w:rPr>
          <w:rFonts w:ascii="Arial" w:cs="Arial" w:eastAsia="Arial" w:hAnsi="Arial"/>
          <w:sz w:val="18"/>
          <w:szCs w:val="18"/>
          <w:color w:val="auto"/>
        </w:rPr>
        <w:t>. Annual bonuses promote short-term performance objectives and reward executives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toward Company performance;</w:t>
      </w:r>
    </w:p>
    <w:p>
      <w:pPr>
        <w:spacing w:after="0" w:line="8" w:lineRule="exact"/>
        <w:rPr>
          <w:rFonts w:ascii="Arial" w:cs="Arial" w:eastAsia="Arial" w:hAnsi="Arial"/>
          <w:sz w:val="18"/>
          <w:szCs w:val="18"/>
          <w:color w:val="auto"/>
        </w:rPr>
      </w:pPr>
    </w:p>
    <w:p>
      <w:pPr>
        <w:ind w:left="1020" w:right="20" w:hanging="503"/>
        <w:spacing w:after="0" w:line="324"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Equity Based Long-Term Incentive Compensation</w:t>
      </w:r>
      <w:r>
        <w:rPr>
          <w:rFonts w:ascii="Arial" w:cs="Arial" w:eastAsia="Arial" w:hAnsi="Arial"/>
          <w:sz w:val="16"/>
          <w:szCs w:val="16"/>
          <w:color w:val="auto"/>
        </w:rPr>
        <w:t>. Equity compensation, provided in the form of stock options and RSUs, aligns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with our stockholders’ interests, emphasizes long-term financial and operational performance, and helps retain executive talent.</w:t>
      </w:r>
    </w:p>
    <w:p>
      <w:pPr>
        <w:spacing w:after="0" w:line="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our NEOs are eligible to participate in our health and welfare programs and our 401(k) plan on the same basis as our other employees. We also maintain severance and change in control arrangements, which aid in attracting and retaining executive talent and help executives to remain focused and dedicated during potential transition periods due to a change in control. Each of these elements of compensation for 2021 is described further below.</w:t>
      </w:r>
    </w:p>
    <w:p>
      <w:pPr>
        <w:spacing w:after="0" w:line="3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 xml:space="preserve">Douglas Braunstein received no compensation in respect of his services as our interim Chief Executive Officer during the year ended December 31, 2021; however, see a discussion of his compensation received for his services as a member of Board set forth below under </w:t>
      </w:r>
      <w:r>
        <w:rPr>
          <w:rFonts w:ascii="Arial" w:cs="Arial" w:eastAsia="Arial" w:hAnsi="Arial"/>
          <w:sz w:val="16"/>
          <w:szCs w:val="16"/>
          <w:i w:val="1"/>
          <w:iCs w:val="1"/>
          <w:color w:val="auto"/>
        </w:rPr>
        <w:t>“2021 Director Compensation”.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The base salaries of our NEOs are an important part of their total compensation package, and are intended to reflect their respective positions, duties and responsibilities. Base salaries provide our NEOs with a reasonable degree of financial certainty and stability. Our Compensation Committee intends to annually review and determine the base salaries of our executives and evaluate the base salaries of new hires at the time of hire. In 2021, we approved incremental base salary increases for our NEOs in connection with their entrance into new employment offer letters after our Business Combination, as further described below under </w:t>
      </w:r>
      <w:r>
        <w:rPr>
          <w:rFonts w:ascii="Arial" w:cs="Arial" w:eastAsia="Arial" w:hAnsi="Arial"/>
          <w:sz w:val="16"/>
          <w:szCs w:val="16"/>
          <w:i w:val="1"/>
          <w:iCs w:val="1"/>
          <w:color w:val="auto"/>
        </w:rPr>
        <w:t>“Named Executive Officer Employment Agreements”</w:t>
      </w:r>
      <w:r>
        <w:rPr>
          <w:rFonts w:ascii="Arial" w:cs="Arial" w:eastAsia="Arial" w:hAnsi="Arial"/>
          <w:sz w:val="16"/>
          <w:szCs w:val="16"/>
          <w:color w:val="auto"/>
        </w:rPr>
        <w:t>. Ms. Fulk’s annual base salary was approved in connection with the commencement of her employment after our Business Combination. Following such determinations, our NEOs’ base salaries were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jc w:val="right"/>
              <w:ind w:right="37"/>
              <w:spacing w:after="0"/>
              <w:rPr>
                <w:sz w:val="20"/>
                <w:szCs w:val="20"/>
                <w:color w:val="auto"/>
              </w:rPr>
            </w:pPr>
            <w:r>
              <w:rPr>
                <w:rFonts w:ascii="Arial" w:cs="Arial" w:eastAsia="Arial" w:hAnsi="Arial"/>
                <w:sz w:val="13"/>
                <w:szCs w:val="13"/>
                <w:b w:val="1"/>
                <w:bCs w:val="1"/>
                <w:color w:val="auto"/>
                <w:w w:val="86"/>
              </w:rPr>
              <w:t>2021 Annualized Base Salary at Year-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68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917"/>
              <w:spacing w:after="0"/>
              <w:rPr>
                <w:sz w:val="20"/>
                <w:szCs w:val="20"/>
                <w:color w:val="auto"/>
              </w:rPr>
            </w:pPr>
            <w:r>
              <w:rPr>
                <w:rFonts w:ascii="Arial" w:cs="Arial" w:eastAsia="Arial" w:hAnsi="Arial"/>
                <w:sz w:val="13"/>
                <w:szCs w:val="13"/>
                <w:b w:val="1"/>
                <w:bCs w:val="1"/>
                <w:color w:val="auto"/>
              </w:rPr>
              <w:t>End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ind w:left="20"/>
              <w:spacing w:after="0" w:line="142" w:lineRule="exact"/>
              <w:rPr>
                <w:sz w:val="20"/>
                <w:szCs w:val="20"/>
                <w:color w:val="auto"/>
              </w:rPr>
            </w:pPr>
            <w:r>
              <w:rPr>
                <w:rFonts w:ascii="Arial" w:cs="Arial" w:eastAsia="Arial" w:hAnsi="Arial"/>
                <w:sz w:val="13"/>
                <w:szCs w:val="13"/>
                <w:color w:val="auto"/>
              </w:rPr>
              <w:t xml:space="preserve">Oren Frank </w:t>
            </w:r>
            <w:r>
              <w:rPr>
                <w:rFonts w:ascii="Arial" w:cs="Arial" w:eastAsia="Arial" w:hAnsi="Arial"/>
                <w:sz w:val="16"/>
                <w:szCs w:val="16"/>
                <w:color w:val="auto"/>
                <w:vertAlign w:val="superscript"/>
              </w:rPr>
              <w:t>(1)</w:t>
            </w:r>
          </w:p>
        </w:tc>
        <w:tc>
          <w:tcPr>
            <w:tcW w:w="3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2120" w:type="dxa"/>
            <w:vAlign w:val="bottom"/>
          </w:tcPr>
          <w:p>
            <w:pPr>
              <w:jc w:val="right"/>
              <w:spacing w:after="0" w:line="142" w:lineRule="exact"/>
              <w:rPr>
                <w:sz w:val="20"/>
                <w:szCs w:val="20"/>
                <w:color w:val="auto"/>
              </w:rPr>
            </w:pPr>
            <w:r>
              <w:rPr>
                <w:rFonts w:ascii="Arial" w:cs="Arial" w:eastAsia="Arial" w:hAnsi="Arial"/>
                <w:sz w:val="13"/>
                <w:szCs w:val="13"/>
                <w:color w:val="auto"/>
              </w:rPr>
              <w:t>350,000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Mark Hirschhorn </w:t>
            </w:r>
            <w:r>
              <w:rPr>
                <w:rFonts w:ascii="Arial" w:cs="Arial" w:eastAsia="Arial" w:hAnsi="Arial"/>
                <w:sz w:val="16"/>
                <w:szCs w:val="16"/>
                <w:color w:val="auto"/>
                <w:vertAlign w:val="superscript"/>
              </w:rPr>
              <w:t>(1)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425,000</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80" w:type="dxa"/>
            <w:vAlign w:val="bottom"/>
          </w:tcPr>
          <w:p>
            <w:pPr>
              <w:ind w:left="20"/>
              <w:spacing w:after="0"/>
              <w:rPr>
                <w:sz w:val="20"/>
                <w:szCs w:val="20"/>
                <w:color w:val="auto"/>
              </w:rPr>
            </w:pPr>
            <w:r>
              <w:rPr>
                <w:rFonts w:ascii="Arial" w:cs="Arial" w:eastAsia="Arial" w:hAnsi="Arial"/>
                <w:sz w:val="13"/>
                <w:szCs w:val="13"/>
                <w:color w:val="auto"/>
              </w:rPr>
              <w:t>Jennifer Fulk</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120" w:type="dxa"/>
            <w:vAlign w:val="bottom"/>
          </w:tcPr>
          <w:p>
            <w:pPr>
              <w:jc w:val="right"/>
              <w:spacing w:after="0"/>
              <w:rPr>
                <w:sz w:val="20"/>
                <w:szCs w:val="20"/>
                <w:color w:val="auto"/>
              </w:rPr>
            </w:pPr>
            <w:r>
              <w:rPr>
                <w:rFonts w:ascii="Arial" w:cs="Arial" w:eastAsia="Arial" w:hAnsi="Arial"/>
                <w:sz w:val="13"/>
                <w:szCs w:val="13"/>
                <w:color w:val="auto"/>
              </w:rPr>
              <w:t>400,000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Samara H. Braunstein</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330,000</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ind w:left="20"/>
              <w:spacing w:after="0"/>
              <w:rPr>
                <w:sz w:val="20"/>
                <w:szCs w:val="20"/>
                <w:color w:val="auto"/>
              </w:rPr>
            </w:pPr>
            <w:r>
              <w:rPr>
                <w:rFonts w:ascii="Arial" w:cs="Arial" w:eastAsia="Arial" w:hAnsi="Arial"/>
                <w:sz w:val="13"/>
                <w:szCs w:val="13"/>
                <w:color w:val="auto"/>
              </w:rPr>
              <w:t>Gil Margolin</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120" w:type="dxa"/>
            <w:vAlign w:val="bottom"/>
          </w:tcPr>
          <w:p>
            <w:pPr>
              <w:jc w:val="right"/>
              <w:spacing w:after="0"/>
              <w:rPr>
                <w:sz w:val="20"/>
                <w:szCs w:val="20"/>
                <w:color w:val="auto"/>
              </w:rPr>
            </w:pPr>
            <w:r>
              <w:rPr>
                <w:rFonts w:ascii="Arial" w:cs="Arial" w:eastAsia="Arial" w:hAnsi="Arial"/>
                <w:sz w:val="13"/>
                <w:szCs w:val="13"/>
                <w:color w:val="auto"/>
              </w:rPr>
              <w:t>330,000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John C. Reilly</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260,000</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8680" w:type="dxa"/>
            <w:vAlign w:val="bottom"/>
          </w:tcPr>
          <w:p>
            <w:pPr>
              <w:ind w:left="20"/>
              <w:spacing w:after="0"/>
              <w:rPr>
                <w:sz w:val="20"/>
                <w:szCs w:val="20"/>
                <w:color w:val="auto"/>
              </w:rPr>
            </w:pPr>
            <w:r>
              <w:rPr>
                <w:rFonts w:ascii="Arial" w:cs="Arial" w:eastAsia="Arial" w:hAnsi="Arial"/>
                <w:sz w:val="13"/>
                <w:szCs w:val="13"/>
                <w:color w:val="auto"/>
              </w:rPr>
              <w:t xml:space="preserve">Roni Frank </w:t>
            </w:r>
            <w:r>
              <w:rPr>
                <w:rFonts w:ascii="Arial" w:cs="Arial" w:eastAsia="Arial" w:hAnsi="Arial"/>
                <w:sz w:val="16"/>
                <w:szCs w:val="16"/>
                <w:color w:val="auto"/>
                <w:vertAlign w:val="superscript"/>
              </w:rPr>
              <w:t>(1)</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120" w:type="dxa"/>
            <w:vAlign w:val="bottom"/>
          </w:tcPr>
          <w:p>
            <w:pPr>
              <w:jc w:val="right"/>
              <w:spacing w:after="0"/>
              <w:rPr>
                <w:sz w:val="20"/>
                <w:szCs w:val="20"/>
                <w:color w:val="auto"/>
              </w:rPr>
            </w:pPr>
            <w:r>
              <w:rPr>
                <w:rFonts w:ascii="Arial" w:cs="Arial" w:eastAsia="Arial" w:hAnsi="Arial"/>
                <w:sz w:val="13"/>
                <w:szCs w:val="13"/>
                <w:color w:val="auto"/>
              </w:rPr>
              <w:t>275,000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firstLine="8"/>
        <w:spacing w:after="0" w:line="274" w:lineRule="auto"/>
        <w:tabs>
          <w:tab w:leader="none" w:pos="233" w:val="left"/>
        </w:tabs>
        <w:numPr>
          <w:ilvl w:val="0"/>
          <w:numId w:val="49"/>
        </w:numPr>
        <w:rPr>
          <w:rFonts w:ascii="Arial" w:cs="Arial" w:eastAsia="Arial" w:hAnsi="Arial"/>
          <w:sz w:val="15"/>
          <w:szCs w:val="15"/>
          <w:color w:val="auto"/>
        </w:rPr>
      </w:pPr>
      <w:r>
        <w:rPr>
          <w:rFonts w:ascii="Arial" w:cs="Arial" w:eastAsia="Arial" w:hAnsi="Arial"/>
          <w:sz w:val="15"/>
          <w:szCs w:val="15"/>
          <w:color w:val="auto"/>
        </w:rPr>
        <w:t>Messrs. Frank and Hirschhorn and Ms. Frank were no longer employed as of December 31, 2021 and the numbers in the table above represent each of their annualized base salaries as of their dates of termination.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Incentive Compensation</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consider annual cash incentive bonuses to be an important component of our total compensation program and provides incentives necessary to retain executive officers. Each NEO is eligible to receive an annual performance-based cash bonus based on a specified target annual bonus award amount, expressed as a percentage of the NEO’s base salary. As of December 31, 2021, target bonuses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520" w:type="dxa"/>
            <w:vAlign w:val="bottom"/>
          </w:tcPr>
          <w:p>
            <w:pPr>
              <w:ind w:left="20"/>
              <w:spacing w:after="0"/>
              <w:rPr>
                <w:sz w:val="20"/>
                <w:szCs w:val="20"/>
                <w:color w:val="auto"/>
              </w:rPr>
            </w:pPr>
            <w:r>
              <w:rPr>
                <w:rFonts w:ascii="Arial" w:cs="Arial" w:eastAsia="Arial" w:hAnsi="Arial"/>
                <w:sz w:val="13"/>
                <w:szCs w:val="13"/>
                <w:b w:val="1"/>
                <w:bCs w:val="1"/>
                <w:color w:val="auto"/>
              </w:rPr>
              <w:t>Named Executive Officer</w:t>
            </w:r>
          </w:p>
        </w:tc>
        <w:tc>
          <w:tcPr>
            <w:tcW w:w="300" w:type="dxa"/>
            <w:vAlign w:val="bottom"/>
          </w:tcPr>
          <w:p>
            <w:pPr>
              <w:spacing w:after="0"/>
              <w:rPr>
                <w:sz w:val="14"/>
                <w:szCs w:val="14"/>
                <w:color w:val="auto"/>
              </w:rPr>
            </w:pPr>
          </w:p>
        </w:tc>
        <w:tc>
          <w:tcPr>
            <w:tcW w:w="2420" w:type="dxa"/>
            <w:vAlign w:val="bottom"/>
            <w:gridSpan w:val="2"/>
          </w:tcPr>
          <w:p>
            <w:pPr>
              <w:jc w:val="right"/>
              <w:ind w:right="737"/>
              <w:spacing w:after="0"/>
              <w:rPr>
                <w:sz w:val="20"/>
                <w:szCs w:val="20"/>
                <w:color w:val="auto"/>
              </w:rPr>
            </w:pPr>
            <w:r>
              <w:rPr>
                <w:rFonts w:ascii="Arial" w:cs="Arial" w:eastAsia="Arial" w:hAnsi="Arial"/>
                <w:sz w:val="13"/>
                <w:szCs w:val="13"/>
                <w:b w:val="1"/>
                <w:bCs w:val="1"/>
                <w:color w:val="auto"/>
              </w:rPr>
              <w:t>Target Percentage</w:t>
            </w:r>
          </w:p>
        </w:tc>
      </w:tr>
      <w:tr>
        <w:trPr>
          <w:trHeight w:val="144"/>
        </w:trPr>
        <w:tc>
          <w:tcPr>
            <w:tcW w:w="852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3"/>
                <w:szCs w:val="13"/>
                <w:color w:val="auto"/>
              </w:rPr>
              <w:t xml:space="preserve">Oren Frank </w:t>
            </w:r>
            <w:r>
              <w:rPr>
                <w:rFonts w:ascii="Arial" w:cs="Arial" w:eastAsia="Arial" w:hAnsi="Arial"/>
                <w:sz w:val="16"/>
                <w:szCs w:val="16"/>
                <w:color w:val="auto"/>
                <w:vertAlign w:val="superscript"/>
              </w:rPr>
              <w:t>(1)</w:t>
            </w:r>
          </w:p>
        </w:tc>
        <w:tc>
          <w:tcPr>
            <w:tcW w:w="300" w:type="dxa"/>
            <w:vAlign w:val="bottom"/>
          </w:tcPr>
          <w:p>
            <w:pPr>
              <w:spacing w:after="0"/>
              <w:rPr>
                <w:sz w:val="12"/>
                <w:szCs w:val="12"/>
                <w:color w:val="auto"/>
              </w:rPr>
            </w:pPr>
          </w:p>
        </w:tc>
        <w:tc>
          <w:tcPr>
            <w:tcW w:w="22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100</w:t>
            </w:r>
          </w:p>
        </w:tc>
        <w:tc>
          <w:tcPr>
            <w:tcW w:w="160" w:type="dxa"/>
            <w:vAlign w:val="bottom"/>
          </w:tcPr>
          <w:p>
            <w:pPr>
              <w:jc w:val="right"/>
              <w:spacing w:after="0" w:line="142" w:lineRule="exact"/>
              <w:rPr>
                <w:sz w:val="20"/>
                <w:szCs w:val="20"/>
                <w:color w:val="auto"/>
              </w:rPr>
            </w:pPr>
            <w:r>
              <w:rPr>
                <w:rFonts w:ascii="Arial" w:cs="Arial" w:eastAsia="Arial" w:hAnsi="Arial"/>
                <w:sz w:val="13"/>
                <w:szCs w:val="13"/>
                <w:color w:val="auto"/>
                <w:w w:val="86"/>
              </w:rPr>
              <w:t>%</w:t>
            </w:r>
          </w:p>
        </w:tc>
      </w:tr>
      <w:tr>
        <w:trPr>
          <w:trHeight w:val="149"/>
        </w:trPr>
        <w:tc>
          <w:tcPr>
            <w:tcW w:w="85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Mark Hirschhorn </w:t>
            </w:r>
            <w:r>
              <w:rPr>
                <w:rFonts w:ascii="Arial" w:cs="Arial" w:eastAsia="Arial" w:hAnsi="Arial"/>
                <w:sz w:val="16"/>
                <w:szCs w:val="16"/>
                <w:color w:val="auto"/>
                <w:vertAlign w:val="superscript"/>
              </w:rPr>
              <w:t>(1)</w:t>
            </w:r>
          </w:p>
        </w:tc>
        <w:tc>
          <w:tcPr>
            <w:tcW w:w="27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100 %</w:t>
            </w:r>
          </w:p>
        </w:tc>
      </w:tr>
      <w:tr>
        <w:trPr>
          <w:trHeight w:val="148"/>
        </w:trPr>
        <w:tc>
          <w:tcPr>
            <w:tcW w:w="8520" w:type="dxa"/>
            <w:vAlign w:val="bottom"/>
          </w:tcPr>
          <w:p>
            <w:pPr>
              <w:ind w:left="20"/>
              <w:spacing w:after="0"/>
              <w:rPr>
                <w:sz w:val="20"/>
                <w:szCs w:val="20"/>
                <w:color w:val="auto"/>
              </w:rPr>
            </w:pPr>
            <w:r>
              <w:rPr>
                <w:rFonts w:ascii="Arial" w:cs="Arial" w:eastAsia="Arial" w:hAnsi="Arial"/>
                <w:sz w:val="13"/>
                <w:szCs w:val="13"/>
                <w:color w:val="auto"/>
              </w:rPr>
              <w:t>Jennifer Fulk</w:t>
            </w:r>
          </w:p>
        </w:tc>
        <w:tc>
          <w:tcPr>
            <w:tcW w:w="2720" w:type="dxa"/>
            <w:vAlign w:val="bottom"/>
            <w:gridSpan w:val="3"/>
          </w:tcPr>
          <w:p>
            <w:pPr>
              <w:jc w:val="right"/>
              <w:spacing w:after="0"/>
              <w:rPr>
                <w:sz w:val="20"/>
                <w:szCs w:val="20"/>
                <w:color w:val="auto"/>
              </w:rPr>
            </w:pPr>
            <w:r>
              <w:rPr>
                <w:rFonts w:ascii="Arial" w:cs="Arial" w:eastAsia="Arial" w:hAnsi="Arial"/>
                <w:sz w:val="13"/>
                <w:szCs w:val="13"/>
                <w:color w:val="auto"/>
              </w:rPr>
              <w:t>100 %</w:t>
            </w:r>
          </w:p>
        </w:tc>
      </w:tr>
      <w:tr>
        <w:trPr>
          <w:trHeight w:val="148"/>
        </w:trPr>
        <w:tc>
          <w:tcPr>
            <w:tcW w:w="8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Samara H. Braunstein</w:t>
            </w:r>
          </w:p>
        </w:tc>
        <w:tc>
          <w:tcPr>
            <w:tcW w:w="27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50 %</w:t>
            </w:r>
          </w:p>
        </w:tc>
      </w:tr>
      <w:tr>
        <w:trPr>
          <w:trHeight w:val="148"/>
        </w:trPr>
        <w:tc>
          <w:tcPr>
            <w:tcW w:w="8520" w:type="dxa"/>
            <w:vAlign w:val="bottom"/>
          </w:tcPr>
          <w:p>
            <w:pPr>
              <w:ind w:left="20"/>
              <w:spacing w:after="0"/>
              <w:rPr>
                <w:sz w:val="20"/>
                <w:szCs w:val="20"/>
                <w:color w:val="auto"/>
              </w:rPr>
            </w:pPr>
            <w:r>
              <w:rPr>
                <w:rFonts w:ascii="Arial" w:cs="Arial" w:eastAsia="Arial" w:hAnsi="Arial"/>
                <w:sz w:val="13"/>
                <w:szCs w:val="13"/>
                <w:color w:val="auto"/>
              </w:rPr>
              <w:t>Gil Margolin</w:t>
            </w:r>
          </w:p>
        </w:tc>
        <w:tc>
          <w:tcPr>
            <w:tcW w:w="2720" w:type="dxa"/>
            <w:vAlign w:val="bottom"/>
            <w:gridSpan w:val="3"/>
          </w:tcPr>
          <w:p>
            <w:pPr>
              <w:jc w:val="right"/>
              <w:spacing w:after="0"/>
              <w:rPr>
                <w:sz w:val="20"/>
                <w:szCs w:val="20"/>
                <w:color w:val="auto"/>
              </w:rPr>
            </w:pPr>
            <w:r>
              <w:rPr>
                <w:rFonts w:ascii="Arial" w:cs="Arial" w:eastAsia="Arial" w:hAnsi="Arial"/>
                <w:sz w:val="13"/>
                <w:szCs w:val="13"/>
                <w:color w:val="auto"/>
              </w:rPr>
              <w:t>100 %</w:t>
            </w:r>
          </w:p>
        </w:tc>
      </w:tr>
      <w:tr>
        <w:trPr>
          <w:trHeight w:val="148"/>
        </w:trPr>
        <w:tc>
          <w:tcPr>
            <w:tcW w:w="8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John C. Reilly</w:t>
            </w:r>
          </w:p>
        </w:tc>
        <w:tc>
          <w:tcPr>
            <w:tcW w:w="27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50 %</w:t>
            </w:r>
          </w:p>
        </w:tc>
      </w:tr>
      <w:tr>
        <w:trPr>
          <w:trHeight w:val="218"/>
        </w:trPr>
        <w:tc>
          <w:tcPr>
            <w:tcW w:w="8520" w:type="dxa"/>
            <w:vAlign w:val="bottom"/>
          </w:tcPr>
          <w:p>
            <w:pPr>
              <w:ind w:left="20"/>
              <w:spacing w:after="0"/>
              <w:rPr>
                <w:sz w:val="20"/>
                <w:szCs w:val="20"/>
                <w:color w:val="auto"/>
              </w:rPr>
            </w:pPr>
            <w:r>
              <w:rPr>
                <w:rFonts w:ascii="Arial" w:cs="Arial" w:eastAsia="Arial" w:hAnsi="Arial"/>
                <w:sz w:val="13"/>
                <w:szCs w:val="13"/>
                <w:color w:val="auto"/>
              </w:rPr>
              <w:t xml:space="preserve">Roni Frank </w:t>
            </w:r>
            <w:r>
              <w:rPr>
                <w:rFonts w:ascii="Arial" w:cs="Arial" w:eastAsia="Arial" w:hAnsi="Arial"/>
                <w:sz w:val="16"/>
                <w:szCs w:val="16"/>
                <w:color w:val="auto"/>
                <w:vertAlign w:val="superscript"/>
              </w:rPr>
              <w:t>(1)</w:t>
            </w:r>
          </w:p>
        </w:tc>
        <w:tc>
          <w:tcPr>
            <w:tcW w:w="2720" w:type="dxa"/>
            <w:vAlign w:val="bottom"/>
            <w:gridSpan w:val="3"/>
          </w:tcPr>
          <w:p>
            <w:pPr>
              <w:jc w:val="right"/>
              <w:spacing w:after="0"/>
              <w:rPr>
                <w:sz w:val="20"/>
                <w:szCs w:val="20"/>
                <w:color w:val="auto"/>
              </w:rPr>
            </w:pPr>
            <w:r>
              <w:rPr>
                <w:rFonts w:ascii="Arial" w:cs="Arial" w:eastAsia="Arial" w:hAnsi="Arial"/>
                <w:sz w:val="13"/>
                <w:szCs w:val="13"/>
                <w:color w:val="auto"/>
              </w:rPr>
              <w:t>50 %</w:t>
            </w:r>
          </w:p>
        </w:tc>
      </w:tr>
    </w:tbl>
    <w:p>
      <w:pPr>
        <w:spacing w:after="0" w:line="25" w:lineRule="exact"/>
        <w:rPr>
          <w:sz w:val="20"/>
          <w:szCs w:val="20"/>
          <w:color w:val="auto"/>
        </w:rPr>
      </w:pPr>
    </w:p>
    <w:p>
      <w:pPr>
        <w:ind w:firstLine="8"/>
        <w:spacing w:after="0" w:line="274" w:lineRule="auto"/>
        <w:tabs>
          <w:tab w:leader="none" w:pos="223" w:val="left"/>
        </w:tabs>
        <w:numPr>
          <w:ilvl w:val="0"/>
          <w:numId w:val="50"/>
        </w:numPr>
        <w:rPr>
          <w:rFonts w:ascii="Arial" w:cs="Arial" w:eastAsia="Arial" w:hAnsi="Arial"/>
          <w:sz w:val="15"/>
          <w:szCs w:val="15"/>
          <w:color w:val="auto"/>
        </w:rPr>
      </w:pPr>
      <w:r>
        <w:rPr>
          <w:rFonts w:ascii="Arial" w:cs="Arial" w:eastAsia="Arial" w:hAnsi="Arial"/>
          <w:sz w:val="15"/>
          <w:szCs w:val="15"/>
          <w:color w:val="auto"/>
        </w:rPr>
        <w:t>Messrs. Frank and Hirschhorn and Ms. Frank were no longer employed as of December 31, 2021 and thus did not receive an annual bonus for 2021; however, the percentages in the table above represent each of their annual bonus target percentages as of their dates of termination.</w:t>
      </w:r>
    </w:p>
    <w:p>
      <w:pPr>
        <w:spacing w:after="0" w:line="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2021 annual bonus program, each NEO was eligible to receive a percentage of the NEO’s target bonus opportunity, ranging from 0% to 200%, as determined by our interim Chief Executive Officer and the Board in their discretion based upon individual and Company performance in 2021. Each NEO was ultimately awarded an annual bonus at 100% of target. In making this determination, our interim Chief Executive Officer and the Board considered various indicators of Company and individual performance, including the NEOs’ efforts in connection with our Business Combination and becoming a public company. Messrs. Frank and Hirschhorn and Ms. Frank were not eligible to receive a bonus with respect to 2021 since they departed from our Company during the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NEOs’ 2021 performance bonuses are set forth in the column entitled “Bonus” in the “Summary Compensation Table” below.</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In addition to her annual performance-based cash bonus, Jennifer Fulk also received a $200,000 signing bonus associated with her commencing employment as our Chief Financial Officer. This signing bonus was paid at the completion of her first thirty days of employment pursuant to the terms of her offer letter, which is further described below under </w:t>
      </w:r>
      <w:r>
        <w:rPr>
          <w:rFonts w:ascii="Arial" w:cs="Arial" w:eastAsia="Arial" w:hAnsi="Arial"/>
          <w:sz w:val="18"/>
          <w:szCs w:val="18"/>
          <w:i w:val="1"/>
          <w:iCs w:val="1"/>
          <w:color w:val="auto"/>
        </w:rPr>
        <w:t>“Executive Employment Agreements”</w:t>
      </w:r>
      <w:r>
        <w:rPr>
          <w:rFonts w:ascii="Arial" w:cs="Arial" w:eastAsia="Arial" w:hAnsi="Arial"/>
          <w:sz w:val="18"/>
          <w:szCs w:val="18"/>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Long-Term Incentive Awards</w:t>
      </w:r>
    </w:p>
    <w:p>
      <w:pPr>
        <w:spacing w:after="0" w:line="13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interest of executives with those of our stockholders. We do not currently have any formal policy for determining the number of equity-based awards to grant to NEOs.</w:t>
      </w:r>
    </w:p>
    <w:p>
      <w:pPr>
        <w:spacing w:after="0" w:line="80"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We believe it is essential to provide equity-based compensation to our executive officers in order to link the interests and risks of our executive officers with those of our stockholders, reinforcing our commitment to ensuring a strong linkage between company performance and pay.</w:t>
      </w:r>
    </w:p>
    <w:p>
      <w:pPr>
        <w:spacing w:after="0" w:line="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2021, we maintained the 2014 Stock Incentive Plan (the “2014 Plan”), which was terminated in connection with the closing of the Business Combination. Under the 2014 Plan, we offered awards of stock options to eligible service providers, including our NEOs. In connection with the closing of the Business Combination and the adoption of the 2021 Incentive Award Plan (the “2021 Plan”), no further awards will be granted under the 2014 Plan; however, any outstanding awards granted under the 2014 Plan will remain outstanding, subject to the terms of the 2014 Plan and any applicable award agreement. Options granted prior to the Business Combination generally vest over four years in 48 equal monthly installments and awards granted following the Business Combination generally vest over four years in 16 equal quarterly installments, in each case subject to continued service; however, new employee grants (both prior to and following the Business Combination) are generally subject to one year of cliff vesting followed by equal monthly or quarterly installments thereafter, as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2021, we granted equity-based compensation to our NEOs in the form of the following grants of stock options and RSUs: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3"/>
                <w:szCs w:val="13"/>
                <w:color w:val="auto"/>
              </w:rPr>
            </w:pPr>
          </w:p>
        </w:tc>
        <w:tc>
          <w:tcPr>
            <w:tcW w:w="212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Number of Shares Underlying Stock</w:t>
            </w:r>
          </w:p>
        </w:tc>
        <w:tc>
          <w:tcPr>
            <w:tcW w:w="280" w:type="dxa"/>
            <w:vAlign w:val="bottom"/>
          </w:tcPr>
          <w:p>
            <w:pPr>
              <w:spacing w:after="0"/>
              <w:rPr>
                <w:sz w:val="13"/>
                <w:szCs w:val="13"/>
                <w:color w:val="auto"/>
              </w:rPr>
            </w:pPr>
          </w:p>
        </w:tc>
        <w:tc>
          <w:tcPr>
            <w:tcW w:w="2100" w:type="dxa"/>
            <w:vAlign w:val="bottom"/>
            <w:vMerge w:val="restart"/>
          </w:tcPr>
          <w:p>
            <w:pPr>
              <w:jc w:val="right"/>
              <w:ind w:right="537"/>
              <w:spacing w:after="0"/>
              <w:rPr>
                <w:sz w:val="20"/>
                <w:szCs w:val="20"/>
                <w:color w:val="auto"/>
              </w:rPr>
            </w:pPr>
            <w:r>
              <w:rPr>
                <w:rFonts w:ascii="Arial" w:cs="Arial" w:eastAsia="Arial" w:hAnsi="Arial"/>
                <w:sz w:val="13"/>
                <w:szCs w:val="13"/>
                <w:b w:val="1"/>
                <w:bCs w:val="1"/>
                <w:color w:val="auto"/>
              </w:rPr>
              <w:t>Number of RSUs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b w:val="1"/>
                <w:bCs w:val="1"/>
                <w:color w:val="auto"/>
              </w:rPr>
              <w:t>Options</w:t>
            </w:r>
          </w:p>
        </w:tc>
        <w:tc>
          <w:tcPr>
            <w:tcW w:w="280" w:type="dxa"/>
            <w:vAlign w:val="bottom"/>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Oren Frank</w:t>
            </w:r>
          </w:p>
        </w:tc>
        <w:tc>
          <w:tcPr>
            <w:tcW w:w="220" w:type="dxa"/>
            <w:vAlign w:val="bottom"/>
            <w:shd w:val="clear" w:color="auto" w:fill="CFF0FC"/>
          </w:tcPr>
          <w:p>
            <w:pPr>
              <w:spacing w:after="0"/>
              <w:rPr>
                <w:sz w:val="12"/>
                <w:szCs w:val="12"/>
                <w:color w:val="auto"/>
              </w:rPr>
            </w:pPr>
          </w:p>
        </w:tc>
        <w:tc>
          <w:tcPr>
            <w:tcW w:w="2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1,732,500</w:t>
            </w:r>
          </w:p>
        </w:tc>
        <w:tc>
          <w:tcPr>
            <w:tcW w:w="280" w:type="dxa"/>
            <w:vAlign w:val="bottom"/>
            <w:shd w:val="clear" w:color="auto" w:fill="CFF0FC"/>
          </w:tcPr>
          <w:p>
            <w:pPr>
              <w:spacing w:after="0"/>
              <w:rPr>
                <w:sz w:val="12"/>
                <w:szCs w:val="12"/>
                <w:color w:val="auto"/>
              </w:rPr>
            </w:pPr>
          </w:p>
        </w:tc>
        <w:tc>
          <w:tcPr>
            <w:tcW w:w="2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433,125</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ind w:left="20"/>
              <w:spacing w:after="0"/>
              <w:rPr>
                <w:sz w:val="20"/>
                <w:szCs w:val="20"/>
                <w:color w:val="auto"/>
              </w:rPr>
            </w:pPr>
            <w:r>
              <w:rPr>
                <w:rFonts w:ascii="Arial" w:cs="Arial" w:eastAsia="Arial" w:hAnsi="Arial"/>
                <w:sz w:val="13"/>
                <w:szCs w:val="13"/>
                <w:color w:val="auto"/>
              </w:rPr>
              <w:t>Mark Hirschhorn</w:t>
            </w:r>
          </w:p>
        </w:tc>
        <w:tc>
          <w:tcPr>
            <w:tcW w:w="2340" w:type="dxa"/>
            <w:vAlign w:val="bottom"/>
            <w:gridSpan w:val="2"/>
          </w:tcPr>
          <w:p>
            <w:pPr>
              <w:jc w:val="right"/>
              <w:spacing w:after="0"/>
              <w:rPr>
                <w:sz w:val="20"/>
                <w:szCs w:val="20"/>
                <w:color w:val="auto"/>
              </w:rPr>
            </w:pPr>
            <w:r>
              <w:rPr>
                <w:rFonts w:ascii="Arial" w:cs="Arial" w:eastAsia="Arial" w:hAnsi="Arial"/>
                <w:sz w:val="13"/>
                <w:szCs w:val="13"/>
                <w:color w:val="auto"/>
              </w:rPr>
              <w:t>990,000</w:t>
            </w:r>
          </w:p>
        </w:tc>
        <w:tc>
          <w:tcPr>
            <w:tcW w:w="2380" w:type="dxa"/>
            <w:vAlign w:val="bottom"/>
            <w:gridSpan w:val="2"/>
          </w:tcPr>
          <w:p>
            <w:pPr>
              <w:jc w:val="right"/>
              <w:spacing w:after="0"/>
              <w:rPr>
                <w:sz w:val="20"/>
                <w:szCs w:val="20"/>
                <w:color w:val="auto"/>
              </w:rPr>
            </w:pPr>
            <w:r>
              <w:rPr>
                <w:rFonts w:ascii="Arial" w:cs="Arial" w:eastAsia="Arial" w:hAnsi="Arial"/>
                <w:sz w:val="13"/>
                <w:szCs w:val="13"/>
                <w:color w:val="auto"/>
              </w:rPr>
              <w:t>247,500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FF0FC"/>
          </w:tcPr>
          <w:p>
            <w:pPr>
              <w:ind w:left="20"/>
              <w:spacing w:after="0"/>
              <w:rPr>
                <w:sz w:val="20"/>
                <w:szCs w:val="20"/>
                <w:color w:val="auto"/>
              </w:rPr>
            </w:pPr>
            <w:r>
              <w:rPr>
                <w:rFonts w:ascii="Arial" w:cs="Arial" w:eastAsia="Arial" w:hAnsi="Arial"/>
                <w:sz w:val="13"/>
                <w:szCs w:val="13"/>
                <w:color w:val="auto"/>
              </w:rPr>
              <w:t>Jennifer Fulk</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492,600</w:t>
            </w:r>
          </w:p>
        </w:tc>
        <w:tc>
          <w:tcPr>
            <w:tcW w:w="23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123,750</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ind w:left="20"/>
              <w:spacing w:after="0"/>
              <w:rPr>
                <w:sz w:val="20"/>
                <w:szCs w:val="20"/>
                <w:color w:val="auto"/>
              </w:rPr>
            </w:pPr>
            <w:r>
              <w:rPr>
                <w:rFonts w:ascii="Arial" w:cs="Arial" w:eastAsia="Arial" w:hAnsi="Arial"/>
                <w:sz w:val="13"/>
                <w:szCs w:val="13"/>
                <w:color w:val="auto"/>
              </w:rPr>
              <w:t>Samara H. Braunstein</w:t>
            </w:r>
          </w:p>
        </w:tc>
        <w:tc>
          <w:tcPr>
            <w:tcW w:w="2340" w:type="dxa"/>
            <w:vAlign w:val="bottom"/>
            <w:gridSpan w:val="2"/>
          </w:tcPr>
          <w:p>
            <w:pPr>
              <w:jc w:val="right"/>
              <w:spacing w:after="0"/>
              <w:rPr>
                <w:sz w:val="20"/>
                <w:szCs w:val="20"/>
                <w:color w:val="auto"/>
              </w:rPr>
            </w:pPr>
            <w:r>
              <w:rPr>
                <w:rFonts w:ascii="Arial" w:cs="Arial" w:eastAsia="Arial" w:hAnsi="Arial"/>
                <w:sz w:val="13"/>
                <w:szCs w:val="13"/>
                <w:color w:val="auto"/>
              </w:rPr>
              <w:t>1,013,704</w:t>
            </w:r>
          </w:p>
        </w:tc>
        <w:tc>
          <w:tcPr>
            <w:tcW w:w="2380" w:type="dxa"/>
            <w:vAlign w:val="bottom"/>
            <w:gridSpan w:val="2"/>
          </w:tcPr>
          <w:p>
            <w:pPr>
              <w:jc w:val="right"/>
              <w:spacing w:after="0"/>
              <w:rPr>
                <w:sz w:val="20"/>
                <w:szCs w:val="20"/>
                <w:color w:val="auto"/>
              </w:rPr>
            </w:pPr>
            <w:r>
              <w:rPr>
                <w:rFonts w:ascii="Arial" w:cs="Arial" w:eastAsia="Arial" w:hAnsi="Arial"/>
                <w:sz w:val="13"/>
                <w:szCs w:val="13"/>
                <w:color w:val="auto"/>
              </w:rPr>
              <w:t>123,750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FF0FC"/>
          </w:tcPr>
          <w:p>
            <w:pPr>
              <w:ind w:left="20"/>
              <w:spacing w:after="0"/>
              <w:rPr>
                <w:sz w:val="20"/>
                <w:szCs w:val="20"/>
                <w:color w:val="auto"/>
              </w:rPr>
            </w:pPr>
            <w:r>
              <w:rPr>
                <w:rFonts w:ascii="Arial" w:cs="Arial" w:eastAsia="Arial" w:hAnsi="Arial"/>
                <w:sz w:val="13"/>
                <w:szCs w:val="13"/>
                <w:color w:val="auto"/>
              </w:rPr>
              <w:t>Gil Margolin</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495,000</w:t>
            </w:r>
          </w:p>
        </w:tc>
        <w:tc>
          <w:tcPr>
            <w:tcW w:w="23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123,750</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ind w:left="20"/>
              <w:spacing w:after="0"/>
              <w:rPr>
                <w:sz w:val="20"/>
                <w:szCs w:val="20"/>
                <w:color w:val="auto"/>
              </w:rPr>
            </w:pPr>
            <w:r>
              <w:rPr>
                <w:rFonts w:ascii="Arial" w:cs="Arial" w:eastAsia="Arial" w:hAnsi="Arial"/>
                <w:sz w:val="13"/>
                <w:szCs w:val="13"/>
                <w:color w:val="auto"/>
              </w:rPr>
              <w:t>John C. Reilly</w:t>
            </w:r>
          </w:p>
        </w:tc>
        <w:tc>
          <w:tcPr>
            <w:tcW w:w="2340" w:type="dxa"/>
            <w:vAlign w:val="bottom"/>
            <w:gridSpan w:val="2"/>
          </w:tcPr>
          <w:p>
            <w:pPr>
              <w:jc w:val="right"/>
              <w:spacing w:after="0"/>
              <w:rPr>
                <w:sz w:val="20"/>
                <w:szCs w:val="20"/>
                <w:color w:val="auto"/>
              </w:rPr>
            </w:pPr>
            <w:r>
              <w:rPr>
                <w:rFonts w:ascii="Arial" w:cs="Arial" w:eastAsia="Arial" w:hAnsi="Arial"/>
                <w:sz w:val="13"/>
                <w:szCs w:val="13"/>
                <w:color w:val="auto"/>
              </w:rPr>
              <w:t>247,500</w:t>
            </w:r>
          </w:p>
        </w:tc>
        <w:tc>
          <w:tcPr>
            <w:tcW w:w="2380" w:type="dxa"/>
            <w:vAlign w:val="bottom"/>
            <w:gridSpan w:val="2"/>
          </w:tcPr>
          <w:p>
            <w:pPr>
              <w:jc w:val="right"/>
              <w:spacing w:after="0"/>
              <w:rPr>
                <w:sz w:val="20"/>
                <w:szCs w:val="20"/>
                <w:color w:val="auto"/>
              </w:rPr>
            </w:pPr>
            <w:r>
              <w:rPr>
                <w:rFonts w:ascii="Arial" w:cs="Arial" w:eastAsia="Arial" w:hAnsi="Arial"/>
                <w:sz w:val="13"/>
                <w:szCs w:val="13"/>
                <w:color w:val="auto"/>
              </w:rPr>
              <w:t>61,875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Roni Frank</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495,000</w:t>
            </w:r>
          </w:p>
        </w:tc>
        <w:tc>
          <w:tcPr>
            <w:tcW w:w="23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123,750</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 xml:space="preserve">Both the option grants and the RSU grants were intended to retain and incentivize our NEOs to lead our company to sustained, long-term superior financial and operational performance and were approved following consideration of the factors set forth above under </w:t>
      </w:r>
      <w:r>
        <w:rPr>
          <w:rFonts w:ascii="Arial" w:cs="Arial" w:eastAsia="Arial" w:hAnsi="Arial"/>
          <w:sz w:val="16"/>
          <w:szCs w:val="16"/>
          <w:i w:val="1"/>
          <w:iCs w:val="1"/>
          <w:color w:val="auto"/>
        </w:rPr>
        <w:t>“Determination of Executive Compensation”</w:t>
      </w:r>
      <w:r>
        <w:rPr>
          <w:rFonts w:ascii="Arial" w:cs="Arial" w:eastAsia="Arial" w:hAnsi="Arial"/>
          <w:sz w:val="16"/>
          <w:szCs w:val="16"/>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Health and Welfare Benefits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maintain a 401(k) retirement savings plan for our employees, including our NEOs, who satisfy certain eligibility requirements. Our NEOs are eligible to participate in the 401(k) plan on the same terms as other full-time employees. The Internal Revenue Code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fully-vested as of the date on which the contribution is made. We believe that providing a vehicle for tax-deferred retirement savings though our 401(k) plan, and making fully vested matching contributions, adds to the overall desirability of our executive compensation package and further incentivizes our employees, including our NEOs, in accordance with our compensation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insurance. We believe the benefits described above are necessary and appropriate to provide a competitive compensation package to our NEOs.</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do not currently provide perquisites to our NEOs, and we do not view perquisites or other personal benefits as a significant component of our executive compensation program. In the future, we may provide perquisites or other personal benefits in limited circumstances, such as where we believe it is appropriate to assist an individual executive officer in the performance of the executive’s duties, to make our executive officers more efficient and effective, and for recruitment, motivation, or retention purposes. All future practices with respect to perquisites or other personal benefits will be approved by the Compensation Committee.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We do not generally provide any tax “gross ups” to our NEOs.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Arrangements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the Business Combination, we adopted our Executive Severance Plan (as amended and restated, the “</w:t>
      </w:r>
      <w:r>
        <w:rPr>
          <w:rFonts w:ascii="Arial" w:cs="Arial" w:eastAsia="Arial" w:hAnsi="Arial"/>
          <w:sz w:val="17"/>
          <w:szCs w:val="17"/>
          <w:u w:val="single" w:color="auto"/>
          <w:color w:val="auto"/>
        </w:rPr>
        <w:t>Executive Severance Plan</w:t>
      </w:r>
      <w:r>
        <w:rPr>
          <w:rFonts w:ascii="Arial" w:cs="Arial" w:eastAsia="Arial" w:hAnsi="Arial"/>
          <w:sz w:val="17"/>
          <w:szCs w:val="17"/>
          <w:color w:val="auto"/>
        </w:rPr>
        <w:t>”), which provides certain of our executives, including our NEOs, with severance benefits and payments upon certain terminations without cause or resignations for good reason. Our Compensation Committee believes that the Executive Severance Plan is necessary to attract and retain executive talent and is a customary component of executive compensation. In particular, the Executive Severance Plan can mitigate a potential disincentive for our NEOs when they are evaluating a potential acquisition of the Company and can encourage retention through the conclusion of the transaction. The payments and benefits provided under the Executive Severance Plan are designed to be competitive with market practices. A description of the Executive Severance Plan, as well as information on the estimated payments and benefits that our NEOs would have been eligible to receive as of December 31, 2021, are set forth in “</w:t>
      </w:r>
      <w:r>
        <w:rPr>
          <w:rFonts w:ascii="Arial" w:cs="Arial" w:eastAsia="Arial" w:hAnsi="Arial"/>
          <w:sz w:val="17"/>
          <w:szCs w:val="17"/>
          <w:i w:val="1"/>
          <w:iCs w:val="1"/>
          <w:color w:val="auto"/>
        </w:rPr>
        <w:t>Potential Payments Upon Termination or Change in Control”</w:t>
      </w:r>
      <w:r>
        <w:rPr>
          <w:rFonts w:ascii="Arial" w:cs="Arial" w:eastAsia="Arial" w:hAnsi="Arial"/>
          <w:sz w:val="17"/>
          <w:szCs w:val="17"/>
          <w:color w:val="auto"/>
        </w:rPr>
        <w:t xml:space="preserve">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Policies and Considerations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Clawback Policy</w:t>
      </w:r>
      <w:r>
        <w:rPr>
          <w:rFonts w:ascii="Arial" w:cs="Arial" w:eastAsia="Arial" w:hAnsi="Arial"/>
          <w:sz w:val="18"/>
          <w:szCs w:val="18"/>
          <w:color w:val="auto"/>
        </w:rPr>
        <w:t>. We believe in maintaining best practices for our executive compensation program. Consistent with that belief, our board of directors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 “clawback” policy with respect to excess incentive-based cash and equity compensation in the event our publicly disclosed financial statements are required to be restated due to material noncompliance with any financial reporting requirement. Where such a restatement has occurred, the policy provides the Compensation Committee with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discretion to recover cash incentives, equity awards or other incentive compensation of employees to the extent such compensation would have been reduced if calculated under the restatement, regardless of whether the employee was responsible for the restatement. Additionally, the policy provides the Compensation Committee with the discretion to recover cash incentives, equity awards or other incentive compensation of employees who have engaged in behavior that is intentional or in reckless disregard of the employee’s duties to the Company or in material violation of the Company’s code of conduct, any other Company policy, or a law or regulation.</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Effective June 22, 2021, the Board adopted stock ownership guidelines that are applicable to our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our NEOs, and to our non-employee directors. Our executive officers and non-employee directors are expected to satisfy the applicable guidelines based on a base salary or annual retainer multiple, as applicable, within five years of the later of (i) the effective date of the guidelines, and (ii) the date of such individual’s appointment to a position with the Company that is subject to such guidelines, and to hold at least the applicable minimum value in shares of common stock for so long as they are an executive officer or non-employee director, as applicable. We believe that stock ownership guidelines align the interests of our officers and directors with our stockholders and encourage long-term management of the Company for the benefit of its stockholders.</w:t>
      </w:r>
    </w:p>
    <w:p>
      <w:pPr>
        <w:spacing w:after="0" w:line="276" w:lineRule="exact"/>
        <w:rPr>
          <w:sz w:val="20"/>
          <w:szCs w:val="20"/>
          <w:color w:val="auto"/>
        </w:rPr>
      </w:pPr>
    </w:p>
    <w:tbl>
      <w:tblPr>
        <w:tblLayout w:type="fixed"/>
        <w:tblInd w:w="1930" w:type="dxa"/>
        <w:tblCellMar>
          <w:top w:w="0" w:type="dxa"/>
          <w:left w:w="0" w:type="dxa"/>
          <w:bottom w:w="0" w:type="dxa"/>
          <w:right w:w="0" w:type="dxa"/>
        </w:tblCellMar>
      </w:tblPr>
      <w:tr>
        <w:trPr>
          <w:trHeight w:val="195"/>
        </w:trPr>
        <w:tc>
          <w:tcPr>
            <w:tcW w:w="3520" w:type="dxa"/>
            <w:vAlign w:val="bottom"/>
            <w:tcBorders>
              <w:top w:val="single" w:sz="8" w:color="auto"/>
              <w:left w:val="single" w:sz="8" w:color="auto"/>
              <w:bottom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5"/>
                <w:szCs w:val="15"/>
                <w:b w:val="1"/>
                <w:bCs w:val="1"/>
                <w:color w:val="auto"/>
                <w:w w:val="92"/>
              </w:rPr>
              <w:t>Participant</w:t>
            </w:r>
          </w:p>
        </w:tc>
        <w:tc>
          <w:tcPr>
            <w:tcW w:w="3900" w:type="dxa"/>
            <w:vAlign w:val="bottom"/>
            <w:tcBorders>
              <w:top w:val="single" w:sz="8" w:color="auto"/>
              <w:bottom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5"/>
                <w:szCs w:val="15"/>
                <w:b w:val="1"/>
                <w:bCs w:val="1"/>
                <w:color w:val="auto"/>
                <w:w w:val="95"/>
              </w:rPr>
              <w:t>Salary/Cash Retainer Multiple  Threshold ($)</w:t>
            </w:r>
          </w:p>
        </w:tc>
      </w:tr>
      <w:tr>
        <w:trPr>
          <w:trHeight w:val="179"/>
        </w:trPr>
        <w:tc>
          <w:tcPr>
            <w:tcW w:w="352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3"/>
              </w:rPr>
              <w:t>Chief Executive Officer</w:t>
            </w:r>
          </w:p>
        </w:tc>
        <w:tc>
          <w:tcPr>
            <w:tcW w:w="390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89"/>
              </w:rPr>
              <w:t>5x annual base salary</w:t>
            </w:r>
          </w:p>
        </w:tc>
      </w:tr>
      <w:tr>
        <w:trPr>
          <w:trHeight w:val="196"/>
        </w:trPr>
        <w:tc>
          <w:tcPr>
            <w:tcW w:w="352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Chief Operating Officer</w:t>
            </w:r>
          </w:p>
        </w:tc>
        <w:tc>
          <w:tcPr>
            <w:tcW w:w="39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3x annual base salary</w:t>
            </w:r>
          </w:p>
        </w:tc>
      </w:tr>
      <w:tr>
        <w:trPr>
          <w:trHeight w:val="196"/>
        </w:trPr>
        <w:tc>
          <w:tcPr>
            <w:tcW w:w="352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Other Employee Participants</w:t>
            </w:r>
          </w:p>
        </w:tc>
        <w:tc>
          <w:tcPr>
            <w:tcW w:w="39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2x annual base salary</w:t>
            </w:r>
          </w:p>
        </w:tc>
      </w:tr>
      <w:tr>
        <w:trPr>
          <w:trHeight w:val="156"/>
        </w:trPr>
        <w:tc>
          <w:tcPr>
            <w:tcW w:w="3520" w:type="dxa"/>
            <w:vAlign w:val="bottom"/>
            <w:tcBorders>
              <w:left w:val="single" w:sz="8" w:color="auto"/>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4"/>
              </w:rPr>
              <w:t>Directors</w:t>
            </w:r>
          </w:p>
        </w:tc>
        <w:tc>
          <w:tcPr>
            <w:tcW w:w="3900" w:type="dxa"/>
            <w:vAlign w:val="bottom"/>
            <w:tcBorders>
              <w:right w:val="single" w:sz="8" w:color="auto"/>
            </w:tcBorders>
          </w:tcPr>
          <w:p>
            <w:pPr>
              <w:ind w:left="140"/>
              <w:spacing w:after="0" w:line="156" w:lineRule="exact"/>
              <w:rPr>
                <w:sz w:val="20"/>
                <w:szCs w:val="20"/>
                <w:color w:val="auto"/>
              </w:rPr>
            </w:pPr>
            <w:r>
              <w:rPr>
                <w:rFonts w:ascii="Arial" w:cs="Arial" w:eastAsia="Arial" w:hAnsi="Arial"/>
                <w:sz w:val="18"/>
                <w:szCs w:val="18"/>
                <w:color w:val="auto"/>
                <w:w w:val="96"/>
              </w:rPr>
              <w:t>5x annual cash retainer (not including committee</w:t>
            </w:r>
          </w:p>
        </w:tc>
      </w:tr>
      <w:tr>
        <w:trPr>
          <w:trHeight w:val="216"/>
        </w:trPr>
        <w:tc>
          <w:tcPr>
            <w:tcW w:w="3520" w:type="dxa"/>
            <w:vAlign w:val="bottom"/>
            <w:tcBorders>
              <w:left w:val="single" w:sz="8" w:color="auto"/>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retainers)</w:t>
            </w:r>
          </w:p>
        </w:tc>
      </w:tr>
    </w:tbl>
    <w:p>
      <w:pPr>
        <w:spacing w:after="0" w:line="35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Anti-Hedging Policy</w:t>
      </w:r>
      <w:r>
        <w:rPr>
          <w:rFonts w:ascii="Arial" w:cs="Arial" w:eastAsia="Arial" w:hAnsi="Arial"/>
          <w:sz w:val="18"/>
          <w:szCs w:val="18"/>
          <w:color w:val="auto"/>
        </w:rPr>
        <w:t>. Our Board of Directors has adopted an Insider Trading Compliance Policy, which applies to all of our directors, officers,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Insider Trading Compliance Policy</w:t>
      </w:r>
      <w:r>
        <w:rPr>
          <w:rFonts w:ascii="Arial" w:cs="Arial" w:eastAsia="Arial" w:hAnsi="Arial"/>
          <w:sz w:val="17"/>
          <w:szCs w:val="17"/>
          <w:color w:val="auto"/>
        </w:rPr>
        <w:t>. Our Insider Trading Compliance Policy provides that no officer, director or employee or any entities they control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acquire or sell (or contract to purchase, acquire or sell) any type of security while in possession of material, non-public information relating to the security or the issuer of the security (whether or not the issuer of the security is the Company). This includes a put option, a call option or a short sale, or engaging in hedging transactions, as further described above under “Anti-Hedging Policy.” In addition, the prohibitions under our Insider Trading Compliance Policy do not apply to certain transactions, such as the exercise of stock options and/or the surrender of shares to the Company in payment of the exercise price or in satisfaction of any tax withholding obligations, pursuant to the applicable equity incentive plan or award agreement; such exceptions are only permitted to the extent they do not involve a market sale of the Company’s securities.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Section 409A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takes into account whether components of the compensation for our executive officers will be adversely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impacted by the penalty tax imposed by Section 409A of the Code, and aims to structure these components to be compliant with or exempt from Section 409A to avoid such potential adverse tax consequences.</w:t>
      </w:r>
    </w:p>
    <w:p>
      <w:pPr>
        <w:spacing w:after="0" w:line="7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 xml:space="preserve">“Golden Parachute” Payments. </w:t>
      </w:r>
      <w:r>
        <w:rPr>
          <w:rFonts w:ascii="Arial" w:cs="Arial" w:eastAsia="Arial" w:hAnsi="Arial"/>
          <w:sz w:val="16"/>
          <w:szCs w:val="16"/>
          <w:color w:val="auto"/>
        </w:rPr>
        <w:t>Sections 280G and 4999 of the Code provide that certain executive officers and other service providers who are highly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compensated or hold significant equity interests may be subject to an excise tax if they receive payments or benefits in connection with a change in control of the Company that exceeds certain prescribed limits, and that we, or a successor, may forfeit a tax deduction on the amounts subject to this additional tax. While the Compensation Committee may take the potential forfeiture of such tax deduction into account when making compensation decisions, it will award compensation that it determines to be consistent with the goals of our executive compensation program even if such compensation is not deductible by us. We do not provide any tax gross-ups to cover excise taxes under Section 4999 in connection with a change in control.</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auto"/>
        </w:rPr>
        <w:t>Accounting for Share-Based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follow Financial Accounting Standard Board Accounting Standards Codification Topic 718, (“ASC Topic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718”) for our share-based compensation awards. ASC Topic 718 requires companies to measure the compensation expense for all share-based payment awards made to employees and directors, including stock options and RSUs, based on the grant date “fair value” of these awards. This calculation is performed for accounting purposes and reported in the compensation tables below, even though our NEOs may never realize any value from their awards.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Compensation Committee has reviewed and discussed the Compensation Discussion and Analysis above with our management. Based on the review and discussions, the Compensation Committee recommended to the Board that the Compensation Discussion and Analysis be included in the Company’s Annual Report on Form 10-K for the fiscal year ended December 31, 2021 and in its proxy statement for the 2022 Annual Meeting of Stockholders.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contains information about the compensation earned by each of our NEOs during fiscal years ended December 31, 2021 and December 31, 2020.</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900" w:type="dxa"/>
            <w:vAlign w:val="bottom"/>
            <w:tcBorders>
              <w:top w:val="single" w:sz="8" w:color="auto"/>
              <w:left w:val="single" w:sz="8" w:color="auto"/>
              <w:right w:val="single" w:sz="8" w:color="auto"/>
            </w:tcBorders>
            <w:shd w:val="clear" w:color="auto" w:fill="D1F6FF"/>
          </w:tcPr>
          <w:p>
            <w:pPr>
              <w:ind w:left="540"/>
              <w:spacing w:after="0" w:line="153" w:lineRule="exact"/>
              <w:rPr>
                <w:sz w:val="20"/>
                <w:szCs w:val="20"/>
                <w:color w:val="auto"/>
              </w:rPr>
            </w:pPr>
            <w:r>
              <w:rPr>
                <w:rFonts w:ascii="Arial" w:cs="Arial" w:eastAsia="Arial" w:hAnsi="Arial"/>
                <w:sz w:val="14"/>
                <w:szCs w:val="14"/>
                <w:b w:val="1"/>
                <w:bCs w:val="1"/>
                <w:color w:val="auto"/>
              </w:rPr>
              <w:t>Name and Principal Position</w:t>
            </w:r>
          </w:p>
        </w:tc>
        <w:tc>
          <w:tcPr>
            <w:tcW w:w="540" w:type="dxa"/>
            <w:vAlign w:val="bottom"/>
            <w:tcBorders>
              <w:top w:val="single" w:sz="8" w:color="auto"/>
              <w:right w:val="single" w:sz="8" w:color="auto"/>
            </w:tcBorders>
            <w:shd w:val="clear" w:color="auto" w:fill="D1F6FF"/>
          </w:tcPr>
          <w:p>
            <w:pPr>
              <w:ind w:left="80"/>
              <w:spacing w:after="0" w:line="153" w:lineRule="exact"/>
              <w:rPr>
                <w:sz w:val="20"/>
                <w:szCs w:val="20"/>
                <w:color w:val="auto"/>
              </w:rPr>
            </w:pPr>
            <w:r>
              <w:rPr>
                <w:rFonts w:ascii="Arial" w:cs="Arial" w:eastAsia="Arial" w:hAnsi="Arial"/>
                <w:sz w:val="14"/>
                <w:szCs w:val="14"/>
                <w:b w:val="1"/>
                <w:bCs w:val="1"/>
                <w:color w:val="auto"/>
              </w:rPr>
              <w:t>Year</w:t>
            </w:r>
          </w:p>
        </w:tc>
        <w:tc>
          <w:tcPr>
            <w:tcW w:w="1140" w:type="dxa"/>
            <w:vAlign w:val="bottom"/>
            <w:tcBorders>
              <w:top w:val="single" w:sz="8" w:color="auto"/>
              <w:right w:val="single" w:sz="8" w:color="auto"/>
            </w:tcBorders>
            <w:shd w:val="clear" w:color="auto" w:fill="D1F6FF"/>
          </w:tcPr>
          <w:p>
            <w:pPr>
              <w:jc w:val="right"/>
              <w:ind w:right="148"/>
              <w:spacing w:after="0" w:line="153" w:lineRule="exact"/>
              <w:rPr>
                <w:sz w:val="20"/>
                <w:szCs w:val="20"/>
                <w:color w:val="auto"/>
              </w:rPr>
            </w:pPr>
            <w:r>
              <w:rPr>
                <w:rFonts w:ascii="Arial" w:cs="Arial" w:eastAsia="Arial" w:hAnsi="Arial"/>
                <w:sz w:val="14"/>
                <w:szCs w:val="14"/>
                <w:b w:val="1"/>
                <w:bCs w:val="1"/>
                <w:color w:val="auto"/>
              </w:rPr>
              <w:t>Salary ($)</w:t>
            </w:r>
          </w:p>
        </w:tc>
        <w:tc>
          <w:tcPr>
            <w:tcW w:w="1180" w:type="dxa"/>
            <w:vAlign w:val="bottom"/>
            <w:tcBorders>
              <w:top w:val="single" w:sz="8" w:color="auto"/>
              <w:right w:val="single" w:sz="8" w:color="auto"/>
            </w:tcBorders>
            <w:shd w:val="clear" w:color="auto" w:fill="D1F6FF"/>
          </w:tcPr>
          <w:p>
            <w:pPr>
              <w:jc w:val="right"/>
              <w:ind w:right="189"/>
              <w:spacing w:after="0" w:line="154" w:lineRule="exact"/>
              <w:rPr>
                <w:sz w:val="20"/>
                <w:szCs w:val="20"/>
                <w:color w:val="auto"/>
              </w:rPr>
            </w:pPr>
            <w:r>
              <w:rPr>
                <w:rFonts w:ascii="Arial" w:cs="Arial" w:eastAsia="Arial" w:hAnsi="Arial"/>
                <w:sz w:val="13"/>
                <w:szCs w:val="13"/>
                <w:b w:val="1"/>
                <w:bCs w:val="1"/>
                <w:color w:val="auto"/>
              </w:rPr>
              <w:t>Bonus ($)</w:t>
            </w:r>
            <w:r>
              <w:rPr>
                <w:rFonts w:ascii="Arial" w:cs="Arial" w:eastAsia="Arial" w:hAnsi="Arial"/>
                <w:sz w:val="17"/>
                <w:szCs w:val="17"/>
                <w:b w:val="1"/>
                <w:bCs w:val="1"/>
                <w:color w:val="auto"/>
                <w:vertAlign w:val="superscript"/>
              </w:rPr>
              <w:t>(3)</w:t>
            </w:r>
          </w:p>
        </w:tc>
        <w:tc>
          <w:tcPr>
            <w:tcW w:w="1240" w:type="dxa"/>
            <w:vAlign w:val="bottom"/>
            <w:tcBorders>
              <w:top w:val="single" w:sz="8" w:color="auto"/>
              <w:right w:val="single" w:sz="8" w:color="auto"/>
            </w:tcBorders>
            <w:shd w:val="clear" w:color="auto" w:fill="D1F6FF"/>
          </w:tcPr>
          <w:p>
            <w:pPr>
              <w:jc w:val="right"/>
              <w:spacing w:after="0" w:line="154" w:lineRule="exact"/>
              <w:rPr>
                <w:sz w:val="20"/>
                <w:szCs w:val="20"/>
                <w:color w:val="auto"/>
              </w:rPr>
            </w:pPr>
            <w:r>
              <w:rPr>
                <w:rFonts w:ascii="Arial" w:cs="Arial" w:eastAsia="Arial" w:hAnsi="Arial"/>
                <w:sz w:val="13"/>
                <w:szCs w:val="13"/>
                <w:b w:val="1"/>
                <w:bCs w:val="1"/>
                <w:color w:val="auto"/>
                <w:w w:val="98"/>
              </w:rPr>
              <w:t>Stock Awards ($)</w:t>
            </w:r>
            <w:r>
              <w:rPr>
                <w:rFonts w:ascii="Arial" w:cs="Arial" w:eastAsia="Arial" w:hAnsi="Arial"/>
                <w:sz w:val="17"/>
                <w:szCs w:val="17"/>
                <w:b w:val="1"/>
                <w:bCs w:val="1"/>
                <w:color w:val="auto"/>
                <w:w w:val="98"/>
                <w:vertAlign w:val="superscript"/>
              </w:rPr>
              <w:t>(4)</w:t>
            </w:r>
          </w:p>
        </w:tc>
        <w:tc>
          <w:tcPr>
            <w:tcW w:w="1100" w:type="dxa"/>
            <w:vAlign w:val="bottom"/>
            <w:tcBorders>
              <w:top w:val="single" w:sz="8" w:color="auto"/>
            </w:tcBorders>
            <w:shd w:val="clear" w:color="auto" w:fill="D1F6FF"/>
          </w:tcPr>
          <w:p>
            <w:pPr>
              <w:jc w:val="right"/>
              <w:spacing w:after="0" w:line="154" w:lineRule="exact"/>
              <w:rPr>
                <w:sz w:val="20"/>
                <w:szCs w:val="20"/>
                <w:color w:val="auto"/>
              </w:rPr>
            </w:pPr>
            <w:r>
              <w:rPr>
                <w:rFonts w:ascii="Arial" w:cs="Arial" w:eastAsia="Arial" w:hAnsi="Arial"/>
                <w:sz w:val="13"/>
                <w:szCs w:val="13"/>
                <w:b w:val="1"/>
                <w:bCs w:val="1"/>
                <w:color w:val="auto"/>
                <w:w w:val="99"/>
              </w:rPr>
              <w:t>Option Awards</w:t>
            </w:r>
            <w:r>
              <w:rPr>
                <w:rFonts w:ascii="Arial" w:cs="Arial" w:eastAsia="Arial" w:hAnsi="Arial"/>
                <w:sz w:val="17"/>
                <w:szCs w:val="17"/>
                <w:b w:val="1"/>
                <w:bCs w:val="1"/>
                <w:color w:val="auto"/>
                <w:w w:val="99"/>
                <w:vertAlign w:val="subscript"/>
              </w:rPr>
              <w:t>(4)</w:t>
            </w:r>
          </w:p>
        </w:tc>
        <w:tc>
          <w:tcPr>
            <w:tcW w:w="240" w:type="dxa"/>
            <w:vAlign w:val="bottom"/>
            <w:tcBorders>
              <w:top w:val="single" w:sz="8" w:color="auto"/>
              <w:right w:val="single" w:sz="8" w:color="auto"/>
            </w:tcBorders>
            <w:shd w:val="clear" w:color="auto" w:fill="D1F6FF"/>
          </w:tcPr>
          <w:p>
            <w:pPr>
              <w:jc w:val="right"/>
              <w:spacing w:after="0" w:line="153" w:lineRule="exact"/>
              <w:rPr>
                <w:sz w:val="20"/>
                <w:szCs w:val="20"/>
                <w:color w:val="auto"/>
              </w:rPr>
            </w:pPr>
            <w:r>
              <w:rPr>
                <w:rFonts w:ascii="Arial" w:cs="Arial" w:eastAsia="Arial" w:hAnsi="Arial"/>
                <w:sz w:val="14"/>
                <w:szCs w:val="14"/>
                <w:b w:val="1"/>
                <w:bCs w:val="1"/>
                <w:color w:val="auto"/>
                <w:w w:val="93"/>
              </w:rPr>
              <w:t>($)</w:t>
            </w:r>
          </w:p>
        </w:tc>
        <w:tc>
          <w:tcPr>
            <w:tcW w:w="1740" w:type="dxa"/>
            <w:vAlign w:val="bottom"/>
            <w:tcBorders>
              <w:top w:val="single" w:sz="8" w:color="auto"/>
              <w:right w:val="single" w:sz="8" w:color="auto"/>
            </w:tcBorders>
            <w:shd w:val="clear" w:color="auto" w:fill="D1F6FF"/>
          </w:tcPr>
          <w:p>
            <w:pPr>
              <w:jc w:val="right"/>
              <w:ind w:right="28"/>
              <w:spacing w:after="0" w:line="153" w:lineRule="exact"/>
              <w:rPr>
                <w:sz w:val="20"/>
                <w:szCs w:val="20"/>
                <w:color w:val="auto"/>
              </w:rPr>
            </w:pPr>
            <w:r>
              <w:rPr>
                <w:rFonts w:ascii="Arial" w:cs="Arial" w:eastAsia="Arial" w:hAnsi="Arial"/>
                <w:sz w:val="14"/>
                <w:szCs w:val="14"/>
                <w:b w:val="1"/>
                <w:bCs w:val="1"/>
                <w:color w:val="auto"/>
              </w:rPr>
              <w:t>All Other Compensation</w:t>
            </w:r>
          </w:p>
        </w:tc>
        <w:tc>
          <w:tcPr>
            <w:tcW w:w="1160" w:type="dxa"/>
            <w:vAlign w:val="bottom"/>
            <w:tcBorders>
              <w:top w:val="single" w:sz="8" w:color="auto"/>
              <w:right w:val="single" w:sz="8" w:color="auto"/>
            </w:tcBorders>
            <w:shd w:val="clear" w:color="auto" w:fill="D1F6FF"/>
          </w:tcPr>
          <w:p>
            <w:pPr>
              <w:jc w:val="right"/>
              <w:ind w:right="308"/>
              <w:spacing w:after="0" w:line="153" w:lineRule="exact"/>
              <w:rPr>
                <w:sz w:val="20"/>
                <w:szCs w:val="20"/>
                <w:color w:val="auto"/>
              </w:rPr>
            </w:pPr>
            <w:r>
              <w:rPr>
                <w:rFonts w:ascii="Arial" w:cs="Arial" w:eastAsia="Arial" w:hAnsi="Arial"/>
                <w:sz w:val="14"/>
                <w:szCs w:val="14"/>
                <w:b w:val="1"/>
                <w:bCs w:val="1"/>
                <w:color w:val="auto"/>
              </w:rPr>
              <w:t>Total</w:t>
            </w:r>
          </w:p>
        </w:tc>
      </w:tr>
      <w:tr>
        <w:trPr>
          <w:trHeight w:val="206"/>
        </w:trPr>
        <w:tc>
          <w:tcPr>
            <w:tcW w:w="2900" w:type="dxa"/>
            <w:vAlign w:val="bottom"/>
            <w:tcBorders>
              <w:left w:val="single" w:sz="8" w:color="auto"/>
              <w:bottom w:val="single" w:sz="8" w:color="auto"/>
              <w:right w:val="single" w:sz="8" w:color="auto"/>
            </w:tcBorders>
            <w:shd w:val="clear" w:color="auto" w:fill="D1F6FF"/>
          </w:tcPr>
          <w:p>
            <w:pPr>
              <w:spacing w:after="0"/>
              <w:rPr>
                <w:sz w:val="17"/>
                <w:szCs w:val="17"/>
                <w:color w:val="auto"/>
              </w:rPr>
            </w:pPr>
          </w:p>
        </w:tc>
        <w:tc>
          <w:tcPr>
            <w:tcW w:w="540" w:type="dxa"/>
            <w:vAlign w:val="bottom"/>
            <w:tcBorders>
              <w:bottom w:val="single" w:sz="8" w:color="auto"/>
              <w:right w:val="single" w:sz="8" w:color="auto"/>
            </w:tcBorders>
            <w:shd w:val="clear" w:color="auto" w:fill="D1F6FF"/>
          </w:tcPr>
          <w:p>
            <w:pPr>
              <w:spacing w:after="0"/>
              <w:rPr>
                <w:sz w:val="17"/>
                <w:szCs w:val="17"/>
                <w:color w:val="auto"/>
              </w:rPr>
            </w:pPr>
          </w:p>
        </w:tc>
        <w:tc>
          <w:tcPr>
            <w:tcW w:w="1140" w:type="dxa"/>
            <w:vAlign w:val="bottom"/>
            <w:tcBorders>
              <w:bottom w:val="single" w:sz="8" w:color="auto"/>
              <w:right w:val="single" w:sz="8" w:color="auto"/>
            </w:tcBorders>
            <w:shd w:val="clear" w:color="auto" w:fill="D1F6FF"/>
          </w:tcPr>
          <w:p>
            <w:pPr>
              <w:spacing w:after="0"/>
              <w:rPr>
                <w:sz w:val="17"/>
                <w:szCs w:val="17"/>
                <w:color w:val="auto"/>
              </w:rPr>
            </w:pPr>
          </w:p>
        </w:tc>
        <w:tc>
          <w:tcPr>
            <w:tcW w:w="1180" w:type="dxa"/>
            <w:vAlign w:val="bottom"/>
            <w:tcBorders>
              <w:bottom w:val="single" w:sz="8" w:color="auto"/>
              <w:right w:val="single" w:sz="8" w:color="auto"/>
            </w:tcBorders>
            <w:shd w:val="clear" w:color="auto" w:fill="D1F6FF"/>
          </w:tcPr>
          <w:p>
            <w:pPr>
              <w:spacing w:after="0"/>
              <w:rPr>
                <w:sz w:val="17"/>
                <w:szCs w:val="17"/>
                <w:color w:val="auto"/>
              </w:rPr>
            </w:pPr>
          </w:p>
        </w:tc>
        <w:tc>
          <w:tcPr>
            <w:tcW w:w="1240" w:type="dxa"/>
            <w:vAlign w:val="bottom"/>
            <w:tcBorders>
              <w:bottom w:val="single" w:sz="8" w:color="auto"/>
              <w:right w:val="single" w:sz="8" w:color="auto"/>
            </w:tcBorders>
            <w:shd w:val="clear" w:color="auto" w:fill="D1F6FF"/>
          </w:tcPr>
          <w:p>
            <w:pPr>
              <w:spacing w:after="0"/>
              <w:rPr>
                <w:sz w:val="17"/>
                <w:szCs w:val="17"/>
                <w:color w:val="auto"/>
              </w:rPr>
            </w:pPr>
          </w:p>
        </w:tc>
        <w:tc>
          <w:tcPr>
            <w:tcW w:w="1100" w:type="dxa"/>
            <w:vAlign w:val="bottom"/>
            <w:tcBorders>
              <w:bottom w:val="single" w:sz="8" w:color="auto"/>
            </w:tcBorders>
            <w:shd w:val="clear" w:color="auto" w:fill="D1F6FF"/>
          </w:tcPr>
          <w:p>
            <w:pPr>
              <w:spacing w:after="0"/>
              <w:rPr>
                <w:sz w:val="17"/>
                <w:szCs w:val="17"/>
                <w:color w:val="auto"/>
              </w:rPr>
            </w:pPr>
          </w:p>
        </w:tc>
        <w:tc>
          <w:tcPr>
            <w:tcW w:w="240" w:type="dxa"/>
            <w:vAlign w:val="bottom"/>
            <w:tcBorders>
              <w:bottom w:val="single" w:sz="8" w:color="auto"/>
              <w:right w:val="single" w:sz="8" w:color="auto"/>
            </w:tcBorders>
            <w:shd w:val="clear" w:color="auto" w:fill="D1F6FF"/>
          </w:tcPr>
          <w:p>
            <w:pPr>
              <w:spacing w:after="0"/>
              <w:rPr>
                <w:sz w:val="17"/>
                <w:szCs w:val="17"/>
                <w:color w:val="auto"/>
              </w:rPr>
            </w:pPr>
          </w:p>
        </w:tc>
        <w:tc>
          <w:tcPr>
            <w:tcW w:w="1740" w:type="dxa"/>
            <w:vAlign w:val="bottom"/>
            <w:tcBorders>
              <w:bottom w:val="single" w:sz="8" w:color="auto"/>
              <w:right w:val="single" w:sz="8" w:color="auto"/>
            </w:tcBorders>
            <w:shd w:val="clear" w:color="auto" w:fill="D1F6FF"/>
          </w:tcPr>
          <w:p>
            <w:pPr>
              <w:jc w:val="center"/>
              <w:ind w:right="608"/>
              <w:spacing w:after="0" w:line="18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9"/>
                <w:szCs w:val="19"/>
                <w:b w:val="1"/>
                <w:bCs w:val="1"/>
                <w:color w:val="auto"/>
                <w:vertAlign w:val="superscript"/>
              </w:rPr>
              <w:t>(5)</w:t>
            </w:r>
          </w:p>
        </w:tc>
        <w:tc>
          <w:tcPr>
            <w:tcW w:w="1160" w:type="dxa"/>
            <w:vAlign w:val="bottom"/>
            <w:tcBorders>
              <w:bottom w:val="single" w:sz="8" w:color="auto"/>
              <w:right w:val="single" w:sz="8" w:color="auto"/>
            </w:tcBorders>
            <w:shd w:val="clear" w:color="auto" w:fill="D1F6FF"/>
          </w:tcPr>
          <w:p>
            <w:pPr>
              <w:spacing w:after="0"/>
              <w:rPr>
                <w:sz w:val="17"/>
                <w:szCs w:val="17"/>
                <w:color w:val="auto"/>
              </w:rPr>
            </w:pPr>
          </w:p>
        </w:tc>
      </w:tr>
      <w:tr>
        <w:trPr>
          <w:trHeight w:val="147"/>
        </w:trPr>
        <w:tc>
          <w:tcPr>
            <w:tcW w:w="2900" w:type="dxa"/>
            <w:vAlign w:val="bottom"/>
            <w:tcBorders>
              <w:left w:val="single" w:sz="8" w:color="auto"/>
              <w:right w:val="single" w:sz="8" w:color="auto"/>
            </w:tcBorders>
          </w:tcPr>
          <w:p>
            <w:pPr>
              <w:ind w:left="40"/>
              <w:spacing w:after="0" w:line="147" w:lineRule="exact"/>
              <w:rPr>
                <w:sz w:val="20"/>
                <w:szCs w:val="20"/>
                <w:color w:val="auto"/>
              </w:rPr>
            </w:pPr>
            <w:r>
              <w:rPr>
                <w:rFonts w:ascii="Arial" w:cs="Arial" w:eastAsia="Arial" w:hAnsi="Arial"/>
                <w:sz w:val="13"/>
                <w:szCs w:val="13"/>
                <w:color w:val="auto"/>
              </w:rPr>
              <w:t xml:space="preserve">Douglas L. Braunstein </w:t>
            </w:r>
            <w:r>
              <w:rPr>
                <w:rFonts w:ascii="Arial" w:cs="Arial" w:eastAsia="Arial" w:hAnsi="Arial"/>
                <w:sz w:val="17"/>
                <w:szCs w:val="17"/>
                <w:color w:val="auto"/>
                <w:vertAlign w:val="superscript"/>
              </w:rPr>
              <w:t>(1)</w:t>
            </w:r>
          </w:p>
        </w:tc>
        <w:tc>
          <w:tcPr>
            <w:tcW w:w="540" w:type="dxa"/>
            <w:vAlign w:val="bottom"/>
            <w:tcBorders>
              <w:right w:val="single" w:sz="8" w:color="auto"/>
            </w:tcBorders>
          </w:tcPr>
          <w:p>
            <w:pPr>
              <w:ind w:left="80"/>
              <w:spacing w:after="0" w:line="147" w:lineRule="exact"/>
              <w:rPr>
                <w:sz w:val="20"/>
                <w:szCs w:val="20"/>
                <w:color w:val="auto"/>
              </w:rPr>
            </w:pPr>
            <w:r>
              <w:rPr>
                <w:rFonts w:ascii="Arial" w:cs="Arial" w:eastAsia="Arial" w:hAnsi="Arial"/>
                <w:sz w:val="14"/>
                <w:szCs w:val="14"/>
                <w:color w:val="auto"/>
              </w:rPr>
              <w:t>2021</w:t>
            </w:r>
          </w:p>
        </w:tc>
        <w:tc>
          <w:tcPr>
            <w:tcW w:w="1140" w:type="dxa"/>
            <w:vAlign w:val="bottom"/>
            <w:tcBorders>
              <w:right w:val="single" w:sz="8" w:color="auto"/>
            </w:tcBorders>
          </w:tcPr>
          <w:p>
            <w:pPr>
              <w:jc w:val="center"/>
              <w:ind w:left="28"/>
              <w:spacing w:after="0" w:line="147" w:lineRule="exact"/>
              <w:rPr>
                <w:sz w:val="20"/>
                <w:szCs w:val="20"/>
                <w:color w:val="auto"/>
              </w:rPr>
            </w:pPr>
            <w:r>
              <w:rPr>
                <w:rFonts w:ascii="Arial" w:cs="Arial" w:eastAsia="Arial" w:hAnsi="Arial"/>
                <w:sz w:val="14"/>
                <w:szCs w:val="14"/>
                <w:color w:val="auto"/>
                <w:w w:val="93"/>
              </w:rPr>
              <w:t>21,000</w:t>
            </w:r>
          </w:p>
        </w:tc>
        <w:tc>
          <w:tcPr>
            <w:tcW w:w="11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w w:val="84"/>
              </w:rPr>
              <w:t>-</w:t>
            </w:r>
          </w:p>
        </w:tc>
        <w:tc>
          <w:tcPr>
            <w:tcW w:w="12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w w:val="88"/>
              </w:rPr>
              <w:t>55,078</w:t>
            </w:r>
          </w:p>
        </w:tc>
        <w:tc>
          <w:tcPr>
            <w:tcW w:w="1100" w:type="dxa"/>
            <w:vAlign w:val="bottom"/>
          </w:tcPr>
          <w:p>
            <w:pPr>
              <w:jc w:val="center"/>
              <w:ind w:left="249"/>
              <w:spacing w:after="0" w:line="147" w:lineRule="exact"/>
              <w:rPr>
                <w:sz w:val="20"/>
                <w:szCs w:val="20"/>
                <w:color w:val="auto"/>
              </w:rPr>
            </w:pPr>
            <w:r>
              <w:rPr>
                <w:rFonts w:ascii="Arial" w:cs="Arial" w:eastAsia="Arial" w:hAnsi="Arial"/>
                <w:sz w:val="14"/>
                <w:szCs w:val="14"/>
                <w:color w:val="auto"/>
                <w:w w:val="90"/>
              </w:rPr>
              <w:t>322,550</w:t>
            </w:r>
          </w:p>
        </w:tc>
        <w:tc>
          <w:tcPr>
            <w:tcW w:w="24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jc w:val="right"/>
              <w:ind w:right="748"/>
              <w:spacing w:after="0" w:line="147"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center"/>
              <w:ind w:left="28"/>
              <w:spacing w:after="0" w:line="147" w:lineRule="exact"/>
              <w:rPr>
                <w:sz w:val="20"/>
                <w:szCs w:val="20"/>
                <w:color w:val="auto"/>
              </w:rPr>
            </w:pPr>
            <w:r>
              <w:rPr>
                <w:rFonts w:ascii="Arial" w:cs="Arial" w:eastAsia="Arial" w:hAnsi="Arial"/>
                <w:sz w:val="14"/>
                <w:szCs w:val="14"/>
                <w:color w:val="auto"/>
                <w:w w:val="90"/>
              </w:rPr>
              <w:t>398,628</w:t>
            </w:r>
          </w:p>
        </w:tc>
      </w:tr>
      <w:tr>
        <w:trPr>
          <w:trHeight w:val="182"/>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Interim Chief Executive Officer</w:t>
            </w:r>
          </w:p>
        </w:tc>
        <w:tc>
          <w:tcPr>
            <w:tcW w:w="5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26"/>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169"/>
        </w:trPr>
        <w:tc>
          <w:tcPr>
            <w:tcW w:w="290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69"/>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Oren Frank</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2021</w:t>
            </w:r>
          </w:p>
        </w:tc>
        <w:tc>
          <w:tcPr>
            <w:tcW w:w="1140" w:type="dxa"/>
            <w:vAlign w:val="bottom"/>
            <w:tcBorders>
              <w:bottom w:val="single" w:sz="8" w:color="auto"/>
              <w:right w:val="single" w:sz="8" w:color="auto"/>
            </w:tcBorders>
          </w:tcPr>
          <w:p>
            <w:pPr>
              <w:jc w:val="right"/>
              <w:ind w:right="108"/>
              <w:spacing w:after="0" w:line="169" w:lineRule="exact"/>
              <w:rPr>
                <w:sz w:val="20"/>
                <w:szCs w:val="20"/>
                <w:color w:val="auto"/>
              </w:rPr>
            </w:pPr>
            <w:r>
              <w:rPr>
                <w:rFonts w:ascii="Arial" w:cs="Arial" w:eastAsia="Arial" w:hAnsi="Arial"/>
                <w:sz w:val="14"/>
                <w:szCs w:val="14"/>
                <w:color w:val="auto"/>
              </w:rPr>
              <w:t>255,930</w:t>
            </w:r>
            <w:r>
              <w:rPr>
                <w:rFonts w:ascii="Arial" w:cs="Arial" w:eastAsia="Arial" w:hAnsi="Arial"/>
                <w:sz w:val="19"/>
                <w:szCs w:val="19"/>
                <w:color w:val="auto"/>
                <w:vertAlign w:val="superscript"/>
              </w:rPr>
              <w:t>(2)</w:t>
            </w:r>
          </w:p>
        </w:tc>
        <w:tc>
          <w:tcPr>
            <w:tcW w:w="1180" w:type="dxa"/>
            <w:vAlign w:val="bottom"/>
            <w:tcBorders>
              <w:bottom w:val="single" w:sz="8" w:color="auto"/>
              <w:right w:val="single" w:sz="8" w:color="auto"/>
            </w:tcBorders>
          </w:tcPr>
          <w:p>
            <w:pPr>
              <w:jc w:val="right"/>
              <w:ind w:right="5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1,550,588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8,820,694</w:t>
            </w: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jc w:val="right"/>
              <w:ind w:right="448"/>
              <w:spacing w:after="0"/>
              <w:rPr>
                <w:sz w:val="20"/>
                <w:szCs w:val="20"/>
                <w:color w:val="auto"/>
              </w:rPr>
            </w:pPr>
            <w:r>
              <w:rPr>
                <w:rFonts w:ascii="Arial" w:cs="Arial" w:eastAsia="Arial" w:hAnsi="Arial"/>
                <w:sz w:val="14"/>
                <w:szCs w:val="14"/>
                <w:color w:val="auto"/>
              </w:rPr>
              <w:t>1,581,368</w:t>
            </w:r>
          </w:p>
        </w:tc>
        <w:tc>
          <w:tcPr>
            <w:tcW w:w="116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12,208,580</w:t>
            </w:r>
          </w:p>
        </w:tc>
      </w:tr>
      <w:tr>
        <w:trPr>
          <w:trHeight w:val="169"/>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Former Chief Executive Officer</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2020</w:t>
            </w:r>
          </w:p>
        </w:tc>
        <w:tc>
          <w:tcPr>
            <w:tcW w:w="11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0"/>
              </w:rPr>
              <w:t>250,000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575,000</w:t>
            </w:r>
          </w:p>
        </w:tc>
        <w:tc>
          <w:tcPr>
            <w:tcW w:w="1240" w:type="dxa"/>
            <w:vAlign w:val="bottom"/>
            <w:tcBorders>
              <w:bottom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1,178,586</w:t>
            </w: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jc w:val="right"/>
              <w:ind w:right="468"/>
              <w:spacing w:after="0"/>
              <w:rPr>
                <w:sz w:val="20"/>
                <w:szCs w:val="20"/>
                <w:color w:val="auto"/>
              </w:rPr>
            </w:pPr>
            <w:r>
              <w:rPr>
                <w:rFonts w:ascii="Arial" w:cs="Arial" w:eastAsia="Arial" w:hAnsi="Arial"/>
                <w:sz w:val="14"/>
                <w:szCs w:val="14"/>
                <w:color w:val="auto"/>
              </w:rPr>
              <w:t>11,400</w:t>
            </w:r>
          </w:p>
        </w:tc>
        <w:tc>
          <w:tcPr>
            <w:tcW w:w="116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2,014,986</w:t>
            </w:r>
          </w:p>
        </w:tc>
      </w:tr>
      <w:tr>
        <w:trPr>
          <w:trHeight w:val="169"/>
        </w:trPr>
        <w:tc>
          <w:tcPr>
            <w:tcW w:w="290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69"/>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Jennifer Fulk</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2021</w:t>
            </w:r>
          </w:p>
        </w:tc>
        <w:tc>
          <w:tcPr>
            <w:tcW w:w="1140" w:type="dxa"/>
            <w:vAlign w:val="bottom"/>
            <w:tcBorders>
              <w:right w:val="single" w:sz="8" w:color="auto"/>
            </w:tcBorders>
          </w:tcPr>
          <w:p>
            <w:pPr>
              <w:jc w:val="center"/>
              <w:ind w:left="8"/>
              <w:spacing w:after="0" w:line="169" w:lineRule="exact"/>
              <w:rPr>
                <w:sz w:val="20"/>
                <w:szCs w:val="20"/>
                <w:color w:val="auto"/>
              </w:rPr>
            </w:pPr>
            <w:r>
              <w:rPr>
                <w:rFonts w:ascii="Arial" w:cs="Arial" w:eastAsia="Arial" w:hAnsi="Arial"/>
                <w:sz w:val="14"/>
                <w:szCs w:val="14"/>
                <w:color w:val="auto"/>
                <w:w w:val="87"/>
              </w:rPr>
              <w:t>174,242</w:t>
            </w:r>
            <w:r>
              <w:rPr>
                <w:rFonts w:ascii="Arial" w:cs="Arial" w:eastAsia="Arial" w:hAnsi="Arial"/>
                <w:sz w:val="19"/>
                <w:szCs w:val="19"/>
                <w:color w:val="auto"/>
                <w:w w:val="87"/>
                <w:vertAlign w:val="superscript"/>
              </w:rPr>
              <w:t>(2)</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600,000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443,025</w:t>
            </w:r>
          </w:p>
        </w:tc>
        <w:tc>
          <w:tcPr>
            <w:tcW w:w="1100" w:type="dxa"/>
            <w:vAlign w:val="bottom"/>
          </w:tcPr>
          <w:p>
            <w:pPr>
              <w:jc w:val="right"/>
              <w:spacing w:after="0"/>
              <w:rPr>
                <w:sz w:val="20"/>
                <w:szCs w:val="20"/>
                <w:color w:val="auto"/>
              </w:rPr>
            </w:pPr>
            <w:r>
              <w:rPr>
                <w:rFonts w:ascii="Arial" w:cs="Arial" w:eastAsia="Arial" w:hAnsi="Arial"/>
                <w:sz w:val="14"/>
                <w:szCs w:val="14"/>
                <w:color w:val="auto"/>
              </w:rPr>
              <w:t>1,690,570</w:t>
            </w:r>
          </w:p>
        </w:tc>
        <w:tc>
          <w:tcPr>
            <w:tcW w:w="2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right"/>
              <w:ind w:right="488"/>
              <w:spacing w:after="0"/>
              <w:rPr>
                <w:sz w:val="20"/>
                <w:szCs w:val="20"/>
                <w:color w:val="auto"/>
              </w:rPr>
            </w:pPr>
            <w:r>
              <w:rPr>
                <w:rFonts w:ascii="Arial" w:cs="Arial" w:eastAsia="Arial" w:hAnsi="Arial"/>
                <w:sz w:val="14"/>
                <w:szCs w:val="14"/>
                <w:color w:val="auto"/>
              </w:rPr>
              <w:t>2,667</w:t>
            </w:r>
          </w:p>
        </w:tc>
        <w:tc>
          <w:tcPr>
            <w:tcW w:w="116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color w:val="auto"/>
                <w:w w:val="93"/>
              </w:rPr>
              <w:t>2,910,504</w:t>
            </w:r>
          </w:p>
        </w:tc>
      </w:tr>
      <w:tr>
        <w:trPr>
          <w:trHeight w:val="182"/>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Chief Financial Officer</w:t>
            </w:r>
          </w:p>
        </w:tc>
        <w:tc>
          <w:tcPr>
            <w:tcW w:w="5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20"/>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90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69"/>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Mark Hirschhorn</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2021</w:t>
            </w:r>
          </w:p>
        </w:tc>
        <w:tc>
          <w:tcPr>
            <w:tcW w:w="1140" w:type="dxa"/>
            <w:vAlign w:val="bottom"/>
            <w:tcBorders>
              <w:bottom w:val="single" w:sz="8" w:color="auto"/>
              <w:right w:val="single" w:sz="8" w:color="auto"/>
            </w:tcBorders>
          </w:tcPr>
          <w:p>
            <w:pPr>
              <w:jc w:val="center"/>
              <w:ind w:left="8"/>
              <w:spacing w:after="0" w:line="169" w:lineRule="exact"/>
              <w:rPr>
                <w:sz w:val="20"/>
                <w:szCs w:val="20"/>
                <w:color w:val="auto"/>
              </w:rPr>
            </w:pPr>
            <w:r>
              <w:rPr>
                <w:rFonts w:ascii="Arial" w:cs="Arial" w:eastAsia="Arial" w:hAnsi="Arial"/>
                <w:sz w:val="14"/>
                <w:szCs w:val="14"/>
                <w:color w:val="auto"/>
                <w:w w:val="87"/>
              </w:rPr>
              <w:t>317,914</w:t>
            </w:r>
            <w:r>
              <w:rPr>
                <w:rFonts w:ascii="Arial" w:cs="Arial" w:eastAsia="Arial" w:hAnsi="Arial"/>
                <w:sz w:val="19"/>
                <w:szCs w:val="19"/>
                <w:color w:val="auto"/>
                <w:w w:val="87"/>
                <w:vertAlign w:val="superscript"/>
              </w:rPr>
              <w:t>(2)</w:t>
            </w:r>
          </w:p>
        </w:tc>
        <w:tc>
          <w:tcPr>
            <w:tcW w:w="1180" w:type="dxa"/>
            <w:vAlign w:val="bottom"/>
            <w:tcBorders>
              <w:bottom w:val="single" w:sz="8" w:color="auto"/>
              <w:right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886,050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5,727,480</w:t>
            </w: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4"/>
                <w:szCs w:val="14"/>
                <w:color w:val="auto"/>
              </w:rPr>
              <w:t>9,073</w:t>
            </w:r>
          </w:p>
        </w:tc>
        <w:tc>
          <w:tcPr>
            <w:tcW w:w="116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color w:val="auto"/>
                <w:w w:val="93"/>
              </w:rPr>
              <w:t>6,940,518</w:t>
            </w:r>
          </w:p>
        </w:tc>
      </w:tr>
      <w:tr>
        <w:trPr>
          <w:trHeight w:val="137"/>
        </w:trPr>
        <w:tc>
          <w:tcPr>
            <w:tcW w:w="2900" w:type="dxa"/>
            <w:vAlign w:val="bottom"/>
            <w:tcBorders>
              <w:left w:val="single" w:sz="8" w:color="auto"/>
              <w:right w:val="single" w:sz="8" w:color="auto"/>
            </w:tcBorders>
          </w:tcPr>
          <w:p>
            <w:pPr>
              <w:ind w:left="40"/>
              <w:spacing w:after="0" w:line="137" w:lineRule="exact"/>
              <w:rPr>
                <w:sz w:val="20"/>
                <w:szCs w:val="20"/>
                <w:color w:val="auto"/>
              </w:rPr>
            </w:pPr>
            <w:r>
              <w:rPr>
                <w:rFonts w:ascii="Arial" w:cs="Arial" w:eastAsia="Arial" w:hAnsi="Arial"/>
                <w:sz w:val="14"/>
                <w:szCs w:val="14"/>
                <w:i w:val="1"/>
                <w:iCs w:val="1"/>
                <w:color w:val="auto"/>
                <w:w w:val="99"/>
              </w:rPr>
              <w:t>Former President, Chief Financial Officer, and</w:t>
            </w:r>
          </w:p>
        </w:tc>
        <w:tc>
          <w:tcPr>
            <w:tcW w:w="54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4"/>
                <w:szCs w:val="14"/>
                <w:color w:val="auto"/>
              </w:rPr>
              <w:t>2020</w:t>
            </w:r>
          </w:p>
        </w:tc>
        <w:tc>
          <w:tcPr>
            <w:tcW w:w="1140" w:type="dxa"/>
            <w:vAlign w:val="bottom"/>
            <w:tcBorders>
              <w:right w:val="single" w:sz="8" w:color="auto"/>
            </w:tcBorders>
          </w:tcPr>
          <w:p>
            <w:pPr>
              <w:jc w:val="center"/>
              <w:ind w:left="8"/>
              <w:spacing w:after="0" w:line="137" w:lineRule="exact"/>
              <w:rPr>
                <w:sz w:val="20"/>
                <w:szCs w:val="20"/>
                <w:color w:val="auto"/>
              </w:rPr>
            </w:pPr>
            <w:r>
              <w:rPr>
                <w:rFonts w:ascii="Arial" w:cs="Arial" w:eastAsia="Arial" w:hAnsi="Arial"/>
                <w:sz w:val="14"/>
                <w:szCs w:val="14"/>
                <w:color w:val="auto"/>
                <w:w w:val="90"/>
              </w:rPr>
              <w:t>262,500</w:t>
            </w:r>
          </w:p>
        </w:tc>
        <w:tc>
          <w:tcPr>
            <w:tcW w:w="11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700,000</w:t>
            </w:r>
          </w:p>
        </w:tc>
        <w:tc>
          <w:tcPr>
            <w:tcW w:w="1240" w:type="dxa"/>
            <w:vAlign w:val="bottom"/>
            <w:tcBorders>
              <w:right w:val="single" w:sz="8" w:color="auto"/>
            </w:tcBorders>
          </w:tcPr>
          <w:p>
            <w:pPr>
              <w:jc w:val="right"/>
              <w:ind w:right="509"/>
              <w:spacing w:after="0" w:line="137"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37" w:lineRule="exact"/>
              <w:rPr>
                <w:sz w:val="20"/>
                <w:szCs w:val="20"/>
                <w:color w:val="auto"/>
              </w:rPr>
            </w:pPr>
            <w:r>
              <w:rPr>
                <w:rFonts w:ascii="Arial" w:cs="Arial" w:eastAsia="Arial" w:hAnsi="Arial"/>
                <w:sz w:val="14"/>
                <w:szCs w:val="14"/>
                <w:color w:val="auto"/>
              </w:rPr>
              <w:t>2,036,544</w:t>
            </w:r>
          </w:p>
        </w:tc>
        <w:tc>
          <w:tcPr>
            <w:tcW w:w="24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ind w:left="840"/>
              <w:spacing w:after="0" w:line="137" w:lineRule="exact"/>
              <w:rPr>
                <w:sz w:val="20"/>
                <w:szCs w:val="20"/>
                <w:color w:val="auto"/>
              </w:rPr>
            </w:pPr>
            <w:r>
              <w:rPr>
                <w:rFonts w:ascii="Arial" w:cs="Arial" w:eastAsia="Arial" w:hAnsi="Arial"/>
                <w:sz w:val="14"/>
                <w:szCs w:val="14"/>
                <w:color w:val="auto"/>
              </w:rPr>
              <w:t>2,310</w:t>
            </w:r>
          </w:p>
        </w:tc>
        <w:tc>
          <w:tcPr>
            <w:tcW w:w="1160" w:type="dxa"/>
            <w:vAlign w:val="bottom"/>
            <w:tcBorders>
              <w:right w:val="single" w:sz="8" w:color="auto"/>
            </w:tcBorders>
          </w:tcPr>
          <w:p>
            <w:pPr>
              <w:jc w:val="center"/>
              <w:ind w:left="28"/>
              <w:spacing w:after="0" w:line="137" w:lineRule="exact"/>
              <w:rPr>
                <w:sz w:val="20"/>
                <w:szCs w:val="20"/>
                <w:color w:val="auto"/>
              </w:rPr>
            </w:pPr>
            <w:r>
              <w:rPr>
                <w:rFonts w:ascii="Arial" w:cs="Arial" w:eastAsia="Arial" w:hAnsi="Arial"/>
                <w:sz w:val="14"/>
                <w:szCs w:val="14"/>
                <w:color w:val="auto"/>
                <w:w w:val="93"/>
              </w:rPr>
              <w:t>3,001,354</w:t>
            </w:r>
          </w:p>
        </w:tc>
      </w:tr>
      <w:tr>
        <w:trPr>
          <w:trHeight w:val="181"/>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Chief Operating Officer</w:t>
            </w:r>
          </w:p>
        </w:tc>
        <w:tc>
          <w:tcPr>
            <w:tcW w:w="5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r>
      <w:tr>
        <w:trPr>
          <w:trHeight w:val="169"/>
        </w:trPr>
        <w:tc>
          <w:tcPr>
            <w:tcW w:w="290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79"/>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Samara H. Braunstein</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2021</w:t>
            </w:r>
          </w:p>
        </w:tc>
        <w:tc>
          <w:tcPr>
            <w:tcW w:w="11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0"/>
              </w:rPr>
              <w:t>313,864</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165,000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443,025</w:t>
            </w:r>
          </w:p>
        </w:tc>
        <w:tc>
          <w:tcPr>
            <w:tcW w:w="110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color w:val="auto"/>
                <w:w w:val="93"/>
              </w:rPr>
              <w:t>5,333,019</w:t>
            </w:r>
          </w:p>
        </w:tc>
        <w:tc>
          <w:tcPr>
            <w:tcW w:w="24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160" w:type="dxa"/>
            <w:vAlign w:val="bottom"/>
          </w:tcPr>
          <w:p>
            <w:pPr>
              <w:jc w:val="center"/>
              <w:ind w:left="28"/>
              <w:spacing w:after="0"/>
              <w:rPr>
                <w:sz w:val="20"/>
                <w:szCs w:val="20"/>
                <w:color w:val="auto"/>
              </w:rPr>
            </w:pPr>
            <w:r>
              <w:rPr>
                <w:rFonts w:ascii="Arial" w:cs="Arial" w:eastAsia="Arial" w:hAnsi="Arial"/>
                <w:sz w:val="14"/>
                <w:szCs w:val="14"/>
                <w:color w:val="auto"/>
                <w:w w:val="93"/>
              </w:rPr>
              <w:t>6,254,908</w:t>
            </w:r>
          </w:p>
        </w:tc>
      </w:tr>
      <w:tr>
        <w:trPr>
          <w:trHeight w:val="183"/>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Chief Marketing Officer</w:t>
            </w:r>
          </w:p>
        </w:tc>
        <w:tc>
          <w:tcPr>
            <w:tcW w:w="5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r>
      <w:tr>
        <w:trPr>
          <w:trHeight w:val="172"/>
        </w:trPr>
        <w:tc>
          <w:tcPr>
            <w:tcW w:w="290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69"/>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Gil Margolin</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2021</w:t>
            </w:r>
          </w:p>
        </w:tc>
        <w:tc>
          <w:tcPr>
            <w:tcW w:w="114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color w:val="auto"/>
                <w:w w:val="90"/>
              </w:rPr>
              <w:t>315,000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330,000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443,025</w:t>
            </w:r>
          </w:p>
        </w:tc>
        <w:tc>
          <w:tcPr>
            <w:tcW w:w="1100" w:type="dxa"/>
            <w:vAlign w:val="bottom"/>
          </w:tcPr>
          <w:p>
            <w:pPr>
              <w:jc w:val="center"/>
              <w:ind w:left="249"/>
              <w:spacing w:after="0"/>
              <w:rPr>
                <w:sz w:val="20"/>
                <w:szCs w:val="20"/>
                <w:color w:val="auto"/>
              </w:rPr>
            </w:pPr>
            <w:r>
              <w:rPr>
                <w:rFonts w:ascii="Arial" w:cs="Arial" w:eastAsia="Arial" w:hAnsi="Arial"/>
                <w:sz w:val="14"/>
                <w:szCs w:val="14"/>
                <w:color w:val="auto"/>
                <w:w w:val="93"/>
              </w:rPr>
              <w:t>3,408,310</w:t>
            </w:r>
          </w:p>
        </w:tc>
        <w:tc>
          <w:tcPr>
            <w:tcW w:w="2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right"/>
              <w:ind w:right="488"/>
              <w:spacing w:after="0"/>
              <w:rPr>
                <w:sz w:val="20"/>
                <w:szCs w:val="20"/>
                <w:color w:val="auto"/>
              </w:rPr>
            </w:pPr>
            <w:r>
              <w:rPr>
                <w:rFonts w:ascii="Arial" w:cs="Arial" w:eastAsia="Arial" w:hAnsi="Arial"/>
                <w:sz w:val="14"/>
                <w:szCs w:val="14"/>
                <w:color w:val="auto"/>
              </w:rPr>
              <w:t>11,600</w:t>
            </w:r>
          </w:p>
        </w:tc>
        <w:tc>
          <w:tcPr>
            <w:tcW w:w="116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color w:val="auto"/>
                <w:w w:val="93"/>
              </w:rPr>
              <w:t>3,999,572</w:t>
            </w:r>
          </w:p>
        </w:tc>
      </w:tr>
      <w:tr>
        <w:trPr>
          <w:trHeight w:val="182"/>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Chief Technology Officer</w:t>
            </w:r>
          </w:p>
        </w:tc>
        <w:tc>
          <w:tcPr>
            <w:tcW w:w="5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20"/>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90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69"/>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 C. Reilly</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2021</w:t>
            </w:r>
          </w:p>
        </w:tc>
        <w:tc>
          <w:tcPr>
            <w:tcW w:w="114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color w:val="auto"/>
                <w:w w:val="90"/>
              </w:rPr>
              <w:t>232,500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130,000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221,513</w:t>
            </w:r>
          </w:p>
        </w:tc>
        <w:tc>
          <w:tcPr>
            <w:tcW w:w="1100" w:type="dxa"/>
            <w:vAlign w:val="bottom"/>
          </w:tcPr>
          <w:p>
            <w:pPr>
              <w:jc w:val="center"/>
              <w:ind w:left="249"/>
              <w:spacing w:after="0"/>
              <w:rPr>
                <w:sz w:val="20"/>
                <w:szCs w:val="20"/>
                <w:color w:val="auto"/>
              </w:rPr>
            </w:pPr>
            <w:r>
              <w:rPr>
                <w:rFonts w:ascii="Arial" w:cs="Arial" w:eastAsia="Arial" w:hAnsi="Arial"/>
                <w:sz w:val="14"/>
                <w:szCs w:val="14"/>
                <w:color w:val="auto"/>
                <w:w w:val="93"/>
              </w:rPr>
              <w:t>1,034,278</w:t>
            </w:r>
          </w:p>
        </w:tc>
        <w:tc>
          <w:tcPr>
            <w:tcW w:w="2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color w:val="auto"/>
                <w:w w:val="93"/>
              </w:rPr>
              <w:t>1,618,291</w:t>
            </w:r>
          </w:p>
        </w:tc>
      </w:tr>
      <w:tr>
        <w:trPr>
          <w:trHeight w:val="182"/>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General Counsel</w:t>
            </w:r>
          </w:p>
        </w:tc>
        <w:tc>
          <w:tcPr>
            <w:tcW w:w="5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20"/>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90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69"/>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Roni Frank</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2021</w:t>
            </w:r>
          </w:p>
        </w:tc>
        <w:tc>
          <w:tcPr>
            <w:tcW w:w="1140" w:type="dxa"/>
            <w:vAlign w:val="bottom"/>
            <w:tcBorders>
              <w:bottom w:val="single" w:sz="8" w:color="auto"/>
              <w:right w:val="single" w:sz="8" w:color="auto"/>
            </w:tcBorders>
          </w:tcPr>
          <w:p>
            <w:pPr>
              <w:jc w:val="center"/>
              <w:ind w:left="8"/>
              <w:spacing w:after="0" w:line="169" w:lineRule="exact"/>
              <w:rPr>
                <w:sz w:val="20"/>
                <w:szCs w:val="20"/>
                <w:color w:val="auto"/>
              </w:rPr>
            </w:pPr>
            <w:r>
              <w:rPr>
                <w:rFonts w:ascii="Arial" w:cs="Arial" w:eastAsia="Arial" w:hAnsi="Arial"/>
                <w:sz w:val="14"/>
                <w:szCs w:val="14"/>
                <w:color w:val="auto"/>
                <w:w w:val="87"/>
              </w:rPr>
              <w:t>228,027</w:t>
            </w:r>
            <w:r>
              <w:rPr>
                <w:rFonts w:ascii="Arial" w:cs="Arial" w:eastAsia="Arial" w:hAnsi="Arial"/>
                <w:sz w:val="19"/>
                <w:szCs w:val="19"/>
                <w:color w:val="auto"/>
                <w:w w:val="87"/>
                <w:vertAlign w:val="superscript"/>
              </w:rPr>
              <w:t>(2)</w:t>
            </w:r>
          </w:p>
        </w:tc>
        <w:tc>
          <w:tcPr>
            <w:tcW w:w="1180" w:type="dxa"/>
            <w:vAlign w:val="bottom"/>
            <w:tcBorders>
              <w:bottom w:val="single" w:sz="8" w:color="auto"/>
              <w:right w:val="single" w:sz="8" w:color="auto"/>
            </w:tcBorders>
          </w:tcPr>
          <w:p>
            <w:pPr>
              <w:jc w:val="right"/>
              <w:ind w:right="5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443,025</w:t>
            </w:r>
          </w:p>
        </w:tc>
        <w:tc>
          <w:tcPr>
            <w:tcW w:w="110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color w:val="auto"/>
                <w:w w:val="93"/>
              </w:rPr>
              <w:t>4,586,817</w:t>
            </w: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jc w:val="right"/>
              <w:ind w:right="428"/>
              <w:spacing w:after="0"/>
              <w:rPr>
                <w:sz w:val="20"/>
                <w:szCs w:val="20"/>
                <w:color w:val="auto"/>
              </w:rPr>
            </w:pPr>
            <w:r>
              <w:rPr>
                <w:rFonts w:ascii="Arial" w:cs="Arial" w:eastAsia="Arial" w:hAnsi="Arial"/>
                <w:sz w:val="14"/>
                <w:szCs w:val="14"/>
                <w:color w:val="auto"/>
              </w:rPr>
              <w:t>1,433,317</w:t>
            </w:r>
          </w:p>
        </w:tc>
        <w:tc>
          <w:tcPr>
            <w:tcW w:w="116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color w:val="auto"/>
                <w:w w:val="93"/>
              </w:rPr>
              <w:t>6,691,186</w:t>
            </w:r>
          </w:p>
        </w:tc>
      </w:tr>
      <w:tr>
        <w:trPr>
          <w:trHeight w:val="169"/>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Former Head of Clinical Services</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2020</w:t>
            </w:r>
          </w:p>
        </w:tc>
        <w:tc>
          <w:tcPr>
            <w:tcW w:w="11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0"/>
              </w:rPr>
              <w:t>250,000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325,000</w:t>
            </w:r>
          </w:p>
        </w:tc>
        <w:tc>
          <w:tcPr>
            <w:tcW w:w="1240" w:type="dxa"/>
            <w:vAlign w:val="bottom"/>
            <w:tcBorders>
              <w:bottom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color w:val="auto"/>
                <w:w w:val="93"/>
              </w:rPr>
              <w:t>1,178,586</w:t>
            </w:r>
          </w:p>
        </w:tc>
        <w:tc>
          <w:tcPr>
            <w:tcW w:w="2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4"/>
                <w:szCs w:val="14"/>
                <w:color w:val="auto"/>
              </w:rPr>
              <w:t>11,425</w:t>
            </w:r>
          </w:p>
        </w:tc>
        <w:tc>
          <w:tcPr>
            <w:tcW w:w="116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color w:val="auto"/>
                <w:w w:val="93"/>
              </w:rPr>
              <w:t>1,765,011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-1366520</wp:posOffset>
            </wp:positionV>
            <wp:extent cx="33655" cy="1454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145415"/>
                    </a:xfrm>
                    <a:prstGeom prst="rect">
                      <a:avLst/>
                    </a:prstGeom>
                    <a:noFill/>
                  </pic:spPr>
                </pic:pic>
              </a:graphicData>
            </a:graphic>
          </wp:anchor>
        </w:drawing>
      </w:r>
    </w:p>
    <w:p>
      <w:pPr>
        <w:spacing w:after="0" w:line="15" w:lineRule="exact"/>
        <w:rPr>
          <w:sz w:val="20"/>
          <w:szCs w:val="20"/>
          <w:color w:val="auto"/>
        </w:rPr>
      </w:pPr>
    </w:p>
    <w:p>
      <w:pPr>
        <w:jc w:val="both"/>
        <w:ind w:firstLine="8"/>
        <w:spacing w:after="0" w:line="257" w:lineRule="auto"/>
        <w:tabs>
          <w:tab w:leader="none" w:pos="209"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Douglas Braunstein received no compensation in respect of his services as our interim Chief Executive Officer during the year ended December 31, 2021; however, in accordance with SEC regulations, the compensation disclosed in the table above reflects compensation received for his services as a member of Board, as further described below under </w:t>
      </w:r>
      <w:r>
        <w:rPr>
          <w:rFonts w:ascii="Arial" w:cs="Arial" w:eastAsia="Arial" w:hAnsi="Arial"/>
          <w:sz w:val="14"/>
          <w:szCs w:val="14"/>
          <w:i w:val="1"/>
          <w:iCs w:val="1"/>
          <w:color w:val="auto"/>
        </w:rPr>
        <w:t>“2021 Director</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w:t>
      </w:r>
    </w:p>
    <w:p>
      <w:pPr>
        <w:spacing w:after="0" w:line="22" w:lineRule="exact"/>
        <w:rPr>
          <w:rFonts w:ascii="Arial" w:cs="Arial" w:eastAsia="Arial" w:hAnsi="Arial"/>
          <w:sz w:val="14"/>
          <w:szCs w:val="14"/>
          <w:color w:val="auto"/>
        </w:rPr>
      </w:pPr>
    </w:p>
    <w:p>
      <w:pPr>
        <w:jc w:val="both"/>
        <w:ind w:firstLine="8"/>
        <w:spacing w:after="0" w:line="257" w:lineRule="auto"/>
        <w:tabs>
          <w:tab w:leader="none" w:pos="207" w:val="left"/>
        </w:tabs>
        <w:numPr>
          <w:ilvl w:val="0"/>
          <w:numId w:val="51"/>
        </w:numPr>
        <w:rPr>
          <w:rFonts w:ascii="Arial" w:cs="Arial" w:eastAsia="Arial" w:hAnsi="Arial"/>
          <w:sz w:val="14"/>
          <w:szCs w:val="14"/>
          <w:color w:val="auto"/>
        </w:rPr>
      </w:pPr>
      <w:r>
        <w:rPr>
          <w:rFonts w:ascii="Arial" w:cs="Arial" w:eastAsia="Arial" w:hAnsi="Arial"/>
          <w:sz w:val="14"/>
          <w:szCs w:val="14"/>
          <w:color w:val="auto"/>
        </w:rPr>
        <w:t>Oren Frank and Roni Frank terminated their employment with the Company on November 15, 2021. Mark Hirschhorn terminated his employment with the Company on November 22, 2021. Jennifer Fulk commenced employment with the Company on July 26, 2021. Each of their respective salaries was prorated for the portion of the 2021 fiscal year during which they were employed.</w:t>
      </w:r>
    </w:p>
    <w:p>
      <w:pPr>
        <w:spacing w:after="0" w:line="22" w:lineRule="exact"/>
        <w:rPr>
          <w:rFonts w:ascii="Arial" w:cs="Arial" w:eastAsia="Arial" w:hAnsi="Arial"/>
          <w:sz w:val="14"/>
          <w:szCs w:val="14"/>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for fiscal 2021 represent discretionary annual bonus payments made with respect to 2021 performance.</w:t>
      </w:r>
    </w:p>
    <w:p>
      <w:pPr>
        <w:spacing w:after="0" w:line="55" w:lineRule="exact"/>
        <w:rPr>
          <w:rFonts w:ascii="Arial" w:cs="Arial" w:eastAsia="Arial" w:hAnsi="Arial"/>
          <w:sz w:val="14"/>
          <w:szCs w:val="14"/>
          <w:color w:val="auto"/>
        </w:rPr>
      </w:pPr>
    </w:p>
    <w:p>
      <w:pPr>
        <w:jc w:val="both"/>
        <w:ind w:firstLine="8"/>
        <w:spacing w:after="0" w:line="252" w:lineRule="auto"/>
        <w:tabs>
          <w:tab w:leader="none" w:pos="207"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and stock options granted during fiscal 2021 computed in accordance with ASC Topic 718, rather than the amounts paid to or realized by the named individual. In addition, amounts reflect the incremental fair value (determined in accordance with ASC Topic 718) associated with the modification of stock options in connection with the Business Combination. We provide information regarding the assumptions used to calculate the value of all restricted stock units and option awards made to our NEOs in Note 13 to the consolidated financial statements included in in this Annual Report for the year ended December 31, 2021.</w:t>
      </w:r>
    </w:p>
    <w:p>
      <w:pPr>
        <w:spacing w:after="0" w:line="25" w:lineRule="exact"/>
        <w:rPr>
          <w:rFonts w:ascii="Arial" w:cs="Arial" w:eastAsia="Arial" w:hAnsi="Arial"/>
          <w:sz w:val="14"/>
          <w:szCs w:val="14"/>
          <w:color w:val="auto"/>
        </w:rPr>
      </w:pPr>
    </w:p>
    <w:p>
      <w:pPr>
        <w:jc w:val="both"/>
        <w:ind w:firstLine="8"/>
        <w:spacing w:after="0" w:line="249" w:lineRule="auto"/>
        <w:tabs>
          <w:tab w:leader="none" w:pos="219"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for fiscal 2021 represent, for all NEOs other than Oren Frank and Roni Frank, matching contributions received under the Company’s 401(k) plan. For Oren Frank, the amount represents (i) $11,600 in matching contributions received under the Company’s 401(k) plan and (ii) $1,569,768 in paid and accrued amounts under his separation agreement, as further described below under “Separation Agreements”. For Roni Frank, the amount represents (i) $11,600 in matching contributions received under the Company’s 401(k) plan and (ii) $1,421,717 in paid and accrued amounts under her separation agreement, as further described below under “Separation Agreements”. The paid and accrued amounts under Mr. and Ms. Frank’s separation agreements are laid out in further detail in the table below.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Amounts Paid and Accrued under Separation Agreements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1720" w:type="dxa"/>
            <w:vAlign w:val="bottom"/>
            <w:tcBorders>
              <w:top w:val="single" w:sz="8" w:color="auto"/>
              <w:left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4"/>
                <w:szCs w:val="14"/>
                <w:b w:val="1"/>
                <w:bCs w:val="1"/>
                <w:color w:val="auto"/>
                <w:w w:val="93"/>
              </w:rPr>
              <w:t>Named Executive</w:t>
            </w:r>
          </w:p>
        </w:tc>
        <w:tc>
          <w:tcPr>
            <w:tcW w:w="20" w:type="dxa"/>
            <w:vAlign w:val="bottom"/>
            <w:tcBorders>
              <w:top w:val="single" w:sz="8" w:color="auto"/>
            </w:tcBorders>
            <w:shd w:val="clear" w:color="auto" w:fill="D1F6FF"/>
          </w:tcPr>
          <w:p>
            <w:pPr>
              <w:spacing w:after="0"/>
              <w:rPr>
                <w:sz w:val="14"/>
                <w:szCs w:val="14"/>
                <w:color w:val="auto"/>
              </w:rPr>
            </w:pPr>
          </w:p>
        </w:tc>
        <w:tc>
          <w:tcPr>
            <w:tcW w:w="1880" w:type="dxa"/>
            <w:vAlign w:val="bottom"/>
            <w:tcBorders>
              <w:top w:val="single" w:sz="8" w:color="auto"/>
              <w:right w:val="single" w:sz="8" w:color="auto"/>
            </w:tcBorders>
            <w:shd w:val="clear" w:color="auto" w:fill="D1F6FF"/>
          </w:tcPr>
          <w:p>
            <w:pPr>
              <w:jc w:val="center"/>
              <w:ind w:right="28"/>
              <w:spacing w:after="0"/>
              <w:rPr>
                <w:sz w:val="20"/>
                <w:szCs w:val="20"/>
                <w:color w:val="auto"/>
              </w:rPr>
            </w:pPr>
            <w:r>
              <w:rPr>
                <w:rFonts w:ascii="Arial" w:cs="Arial" w:eastAsia="Arial" w:hAnsi="Arial"/>
                <w:sz w:val="14"/>
                <w:szCs w:val="14"/>
                <w:b w:val="1"/>
                <w:bCs w:val="1"/>
                <w:color w:val="auto"/>
                <w:w w:val="93"/>
              </w:rPr>
              <w:t>Restrictive Covenant</w:t>
            </w:r>
          </w:p>
        </w:tc>
        <w:tc>
          <w:tcPr>
            <w:tcW w:w="1360" w:type="dxa"/>
            <w:vAlign w:val="bottom"/>
            <w:tcBorders>
              <w:top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4"/>
                <w:szCs w:val="14"/>
                <w:b w:val="1"/>
                <w:bCs w:val="1"/>
                <w:color w:val="auto"/>
                <w:w w:val="96"/>
              </w:rPr>
              <w:t>Lump Sum</w:t>
            </w:r>
          </w:p>
        </w:tc>
        <w:tc>
          <w:tcPr>
            <w:tcW w:w="1560" w:type="dxa"/>
            <w:vAlign w:val="bottom"/>
            <w:tcBorders>
              <w:top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1540" w:type="dxa"/>
            <w:vAlign w:val="bottom"/>
            <w:tcBorders>
              <w:top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4"/>
                <w:szCs w:val="14"/>
                <w:b w:val="1"/>
                <w:bCs w:val="1"/>
                <w:color w:val="auto"/>
              </w:rPr>
              <w:t>COBRA</w:t>
            </w:r>
          </w:p>
        </w:tc>
        <w:tc>
          <w:tcPr>
            <w:tcW w:w="1740" w:type="dxa"/>
            <w:vAlign w:val="bottom"/>
            <w:tcBorders>
              <w:top w:val="single" w:sz="8" w:color="auto"/>
              <w:right w:val="single" w:sz="8" w:color="auto"/>
            </w:tcBorders>
            <w:shd w:val="clear" w:color="auto" w:fill="D1F6FF"/>
          </w:tcPr>
          <w:p>
            <w:pPr>
              <w:ind w:left="140"/>
              <w:spacing w:after="0"/>
              <w:rPr>
                <w:sz w:val="20"/>
                <w:szCs w:val="20"/>
                <w:color w:val="auto"/>
              </w:rPr>
            </w:pPr>
            <w:r>
              <w:rPr>
                <w:rFonts w:ascii="Arial" w:cs="Arial" w:eastAsia="Arial" w:hAnsi="Arial"/>
                <w:sz w:val="14"/>
                <w:szCs w:val="14"/>
                <w:b w:val="1"/>
                <w:bCs w:val="1"/>
                <w:color w:val="auto"/>
              </w:rPr>
              <w:t>Equity Acceleration ($)</w:t>
            </w:r>
          </w:p>
        </w:tc>
        <w:tc>
          <w:tcPr>
            <w:tcW w:w="1420" w:type="dxa"/>
            <w:vAlign w:val="bottom"/>
            <w:tcBorders>
              <w:top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right w:val="single" w:sz="8" w:color="auto"/>
            </w:tcBorders>
            <w:vMerge w:val="restart"/>
            <w:shd w:val="clear" w:color="auto" w:fill="D1F6FF"/>
          </w:tcPr>
          <w:p>
            <w:pPr>
              <w:jc w:val="center"/>
              <w:spacing w:after="0"/>
              <w:rPr>
                <w:sz w:val="20"/>
                <w:szCs w:val="20"/>
                <w:color w:val="auto"/>
              </w:rPr>
            </w:pPr>
            <w:r>
              <w:rPr>
                <w:rFonts w:ascii="Arial" w:cs="Arial" w:eastAsia="Arial" w:hAnsi="Arial"/>
                <w:sz w:val="14"/>
                <w:szCs w:val="14"/>
                <w:b w:val="1"/>
                <w:bCs w:val="1"/>
                <w:color w:val="auto"/>
                <w:w w:val="97"/>
              </w:rPr>
              <w:t>Officer</w:t>
            </w:r>
          </w:p>
        </w:tc>
        <w:tc>
          <w:tcPr>
            <w:tcW w:w="20" w:type="dxa"/>
            <w:vAlign w:val="bottom"/>
            <w:shd w:val="clear" w:color="auto" w:fill="D1F6FF"/>
          </w:tcPr>
          <w:p>
            <w:pPr>
              <w:spacing w:after="0"/>
              <w:rPr>
                <w:sz w:val="10"/>
                <w:szCs w:val="10"/>
                <w:color w:val="auto"/>
              </w:rPr>
            </w:pPr>
          </w:p>
        </w:tc>
        <w:tc>
          <w:tcPr>
            <w:tcW w:w="1880" w:type="dxa"/>
            <w:vAlign w:val="bottom"/>
            <w:tcBorders>
              <w:right w:val="single" w:sz="8" w:color="auto"/>
            </w:tcBorders>
            <w:vMerge w:val="restart"/>
            <w:shd w:val="clear" w:color="auto" w:fill="D1F6FF"/>
          </w:tcPr>
          <w:p>
            <w:pPr>
              <w:jc w:val="center"/>
              <w:spacing w:after="0"/>
              <w:rPr>
                <w:sz w:val="20"/>
                <w:szCs w:val="20"/>
                <w:color w:val="auto"/>
              </w:rPr>
            </w:pPr>
            <w:r>
              <w:rPr>
                <w:rFonts w:ascii="Arial" w:cs="Arial" w:eastAsia="Arial" w:hAnsi="Arial"/>
                <w:sz w:val="14"/>
                <w:szCs w:val="14"/>
                <w:b w:val="1"/>
                <w:bCs w:val="1"/>
                <w:color w:val="auto"/>
                <w:w w:val="94"/>
              </w:rPr>
              <w:t>Amount ($)</w:t>
            </w:r>
          </w:p>
        </w:tc>
        <w:tc>
          <w:tcPr>
            <w:tcW w:w="1360" w:type="dxa"/>
            <w:vAlign w:val="bottom"/>
            <w:tcBorders>
              <w:right w:val="single" w:sz="8" w:color="auto"/>
            </w:tcBorders>
            <w:vMerge w:val="restart"/>
            <w:shd w:val="clear" w:color="auto" w:fill="D1F6FF"/>
          </w:tcPr>
          <w:p>
            <w:pPr>
              <w:jc w:val="center"/>
              <w:spacing w:after="0"/>
              <w:rPr>
                <w:sz w:val="20"/>
                <w:szCs w:val="20"/>
                <w:color w:val="auto"/>
              </w:rPr>
            </w:pPr>
            <w:r>
              <w:rPr>
                <w:rFonts w:ascii="Arial" w:cs="Arial" w:eastAsia="Arial" w:hAnsi="Arial"/>
                <w:sz w:val="14"/>
                <w:szCs w:val="14"/>
                <w:b w:val="1"/>
                <w:bCs w:val="1"/>
                <w:color w:val="auto"/>
                <w:w w:val="94"/>
              </w:rPr>
              <w:t>Amount ($)</w:t>
            </w:r>
          </w:p>
        </w:tc>
        <w:tc>
          <w:tcPr>
            <w:tcW w:w="1560" w:type="dxa"/>
            <w:vAlign w:val="bottom"/>
            <w:tcBorders>
              <w:right w:val="single" w:sz="8" w:color="auto"/>
            </w:tcBorders>
            <w:vMerge w:val="restart"/>
            <w:shd w:val="clear" w:color="auto" w:fill="D1F6FF"/>
          </w:tcPr>
          <w:p>
            <w:pPr>
              <w:jc w:val="center"/>
              <w:spacing w:after="0"/>
              <w:rPr>
                <w:sz w:val="20"/>
                <w:szCs w:val="20"/>
                <w:color w:val="auto"/>
              </w:rPr>
            </w:pPr>
            <w:r>
              <w:rPr>
                <w:rFonts w:ascii="Arial" w:cs="Arial" w:eastAsia="Arial" w:hAnsi="Arial"/>
                <w:sz w:val="14"/>
                <w:szCs w:val="14"/>
                <w:b w:val="1"/>
                <w:bCs w:val="1"/>
                <w:color w:val="auto"/>
                <w:w w:val="94"/>
              </w:rPr>
              <w:t>Continuation ($)</w:t>
            </w:r>
          </w:p>
        </w:tc>
        <w:tc>
          <w:tcPr>
            <w:tcW w:w="1540" w:type="dxa"/>
            <w:vAlign w:val="bottom"/>
            <w:tcBorders>
              <w:right w:val="single" w:sz="8" w:color="auto"/>
            </w:tcBorders>
            <w:vMerge w:val="restart"/>
            <w:shd w:val="clear" w:color="auto" w:fill="D1F6FF"/>
          </w:tcPr>
          <w:p>
            <w:pPr>
              <w:jc w:val="center"/>
              <w:spacing w:after="0"/>
              <w:rPr>
                <w:sz w:val="20"/>
                <w:szCs w:val="20"/>
                <w:color w:val="auto"/>
              </w:rPr>
            </w:pPr>
            <w:r>
              <w:rPr>
                <w:rFonts w:ascii="Arial" w:cs="Arial" w:eastAsia="Arial" w:hAnsi="Arial"/>
                <w:sz w:val="14"/>
                <w:szCs w:val="14"/>
                <w:b w:val="1"/>
                <w:bCs w:val="1"/>
                <w:color w:val="auto"/>
                <w:w w:val="94"/>
              </w:rPr>
              <w:t>Continuation ($)</w:t>
            </w:r>
          </w:p>
        </w:tc>
        <w:tc>
          <w:tcPr>
            <w:tcW w:w="1740" w:type="dxa"/>
            <w:vAlign w:val="bottom"/>
            <w:tcBorders>
              <w:right w:val="single" w:sz="8" w:color="auto"/>
            </w:tcBorders>
            <w:shd w:val="clear" w:color="auto" w:fill="D1F6FF"/>
          </w:tcPr>
          <w:p>
            <w:pPr>
              <w:jc w:val="center"/>
              <w:spacing w:after="0"/>
              <w:rPr>
                <w:sz w:val="20"/>
                <w:szCs w:val="20"/>
                <w:color w:val="auto"/>
              </w:rPr>
            </w:pPr>
            <w:r>
              <w:rPr>
                <w:rFonts w:ascii="Arial" w:cs="Arial" w:eastAsia="Arial" w:hAnsi="Arial"/>
                <w:sz w:val="10"/>
                <w:szCs w:val="10"/>
                <w:b w:val="1"/>
                <w:bCs w:val="1"/>
                <w:color w:val="auto"/>
                <w:w w:val="97"/>
              </w:rPr>
              <w:t>(1)</w:t>
            </w:r>
          </w:p>
        </w:tc>
        <w:tc>
          <w:tcPr>
            <w:tcW w:w="1420" w:type="dxa"/>
            <w:vAlign w:val="bottom"/>
            <w:tcBorders>
              <w:right w:val="single" w:sz="8" w:color="auto"/>
            </w:tcBorders>
            <w:shd w:val="clear" w:color="auto" w:fill="D1F6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bottom w:val="single" w:sz="8" w:color="auto"/>
              <w:right w:val="single" w:sz="8" w:color="auto"/>
            </w:tcBorders>
            <w:vMerge w:val="continue"/>
            <w:shd w:val="clear" w:color="auto" w:fill="D1F6FF"/>
          </w:tcPr>
          <w:p>
            <w:pPr>
              <w:spacing w:after="0"/>
              <w:rPr>
                <w:sz w:val="9"/>
                <w:szCs w:val="9"/>
                <w:color w:val="auto"/>
              </w:rPr>
            </w:pPr>
          </w:p>
        </w:tc>
        <w:tc>
          <w:tcPr>
            <w:tcW w:w="20" w:type="dxa"/>
            <w:vAlign w:val="bottom"/>
            <w:tcBorders>
              <w:bottom w:val="single" w:sz="8" w:color="auto"/>
            </w:tcBorders>
            <w:shd w:val="clear" w:color="auto" w:fill="D1F6FF"/>
          </w:tcPr>
          <w:p>
            <w:pPr>
              <w:spacing w:after="0"/>
              <w:rPr>
                <w:sz w:val="9"/>
                <w:szCs w:val="9"/>
                <w:color w:val="auto"/>
              </w:rPr>
            </w:pPr>
          </w:p>
        </w:tc>
        <w:tc>
          <w:tcPr>
            <w:tcW w:w="1880" w:type="dxa"/>
            <w:vAlign w:val="bottom"/>
            <w:tcBorders>
              <w:bottom w:val="single" w:sz="8" w:color="auto"/>
              <w:right w:val="single" w:sz="8" w:color="auto"/>
            </w:tcBorders>
            <w:vMerge w:val="continue"/>
            <w:shd w:val="clear" w:color="auto" w:fill="D1F6FF"/>
          </w:tcPr>
          <w:p>
            <w:pPr>
              <w:spacing w:after="0"/>
              <w:rPr>
                <w:sz w:val="9"/>
                <w:szCs w:val="9"/>
                <w:color w:val="auto"/>
              </w:rPr>
            </w:pPr>
          </w:p>
        </w:tc>
        <w:tc>
          <w:tcPr>
            <w:tcW w:w="1360" w:type="dxa"/>
            <w:vAlign w:val="bottom"/>
            <w:tcBorders>
              <w:bottom w:val="single" w:sz="8" w:color="auto"/>
              <w:right w:val="single" w:sz="8" w:color="auto"/>
            </w:tcBorders>
            <w:vMerge w:val="continue"/>
            <w:shd w:val="clear" w:color="auto" w:fill="D1F6FF"/>
          </w:tcPr>
          <w:p>
            <w:pPr>
              <w:spacing w:after="0"/>
              <w:rPr>
                <w:sz w:val="9"/>
                <w:szCs w:val="9"/>
                <w:color w:val="auto"/>
              </w:rPr>
            </w:pPr>
          </w:p>
        </w:tc>
        <w:tc>
          <w:tcPr>
            <w:tcW w:w="1560" w:type="dxa"/>
            <w:vAlign w:val="bottom"/>
            <w:tcBorders>
              <w:bottom w:val="single" w:sz="8" w:color="auto"/>
              <w:right w:val="single" w:sz="8" w:color="auto"/>
            </w:tcBorders>
            <w:vMerge w:val="continue"/>
            <w:shd w:val="clear" w:color="auto" w:fill="D1F6FF"/>
          </w:tcPr>
          <w:p>
            <w:pPr>
              <w:spacing w:after="0"/>
              <w:rPr>
                <w:sz w:val="9"/>
                <w:szCs w:val="9"/>
                <w:color w:val="auto"/>
              </w:rPr>
            </w:pPr>
          </w:p>
        </w:tc>
        <w:tc>
          <w:tcPr>
            <w:tcW w:w="1540" w:type="dxa"/>
            <w:vAlign w:val="bottom"/>
            <w:tcBorders>
              <w:bottom w:val="single" w:sz="8" w:color="auto"/>
              <w:right w:val="single" w:sz="8" w:color="auto"/>
            </w:tcBorders>
            <w:vMerge w:val="continue"/>
            <w:shd w:val="clear" w:color="auto" w:fill="D1F6FF"/>
          </w:tcPr>
          <w:p>
            <w:pPr>
              <w:spacing w:after="0"/>
              <w:rPr>
                <w:sz w:val="9"/>
                <w:szCs w:val="9"/>
                <w:color w:val="auto"/>
              </w:rPr>
            </w:pPr>
          </w:p>
        </w:tc>
        <w:tc>
          <w:tcPr>
            <w:tcW w:w="1740" w:type="dxa"/>
            <w:vAlign w:val="bottom"/>
            <w:tcBorders>
              <w:bottom w:val="single" w:sz="8" w:color="auto"/>
              <w:right w:val="single" w:sz="8" w:color="auto"/>
            </w:tcBorders>
            <w:shd w:val="clear" w:color="auto" w:fill="D1F6FF"/>
          </w:tcPr>
          <w:p>
            <w:pPr>
              <w:spacing w:after="0"/>
              <w:rPr>
                <w:sz w:val="9"/>
                <w:szCs w:val="9"/>
                <w:color w:val="auto"/>
              </w:rPr>
            </w:pPr>
          </w:p>
        </w:tc>
        <w:tc>
          <w:tcPr>
            <w:tcW w:w="1420" w:type="dxa"/>
            <w:vAlign w:val="bottom"/>
            <w:tcBorders>
              <w:bottom w:val="single" w:sz="8" w:color="auto"/>
              <w:right w:val="single" w:sz="8" w:color="auto"/>
            </w:tcBorders>
            <w:shd w:val="clear" w:color="auto" w:fill="D1F6FF"/>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Oren Frank</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125,000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750,000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350,000</w:t>
            </w:r>
          </w:p>
        </w:tc>
        <w:tc>
          <w:tcPr>
            <w:tcW w:w="1540" w:type="dxa"/>
            <w:vAlign w:val="bottom"/>
            <w:tcBorders>
              <w:bottom w:val="single" w:sz="8" w:color="auto"/>
              <w:right w:val="single" w:sz="8" w:color="auto"/>
            </w:tcBorders>
          </w:tcPr>
          <w:p>
            <w:pPr>
              <w:jc w:val="right"/>
              <w:ind w:right="484"/>
              <w:spacing w:after="0"/>
              <w:rPr>
                <w:sz w:val="20"/>
                <w:szCs w:val="20"/>
                <w:color w:val="auto"/>
              </w:rPr>
            </w:pPr>
            <w:r>
              <w:rPr>
                <w:rFonts w:ascii="Arial" w:cs="Arial" w:eastAsia="Arial" w:hAnsi="Arial"/>
                <w:sz w:val="16"/>
                <w:szCs w:val="16"/>
                <w:color w:val="auto"/>
              </w:rPr>
              <w:t>73,051</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271,717</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1,569,768</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Roni Frank</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125,000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750,000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275,000</w:t>
            </w:r>
          </w:p>
        </w:tc>
        <w:tc>
          <w:tcPr>
            <w:tcW w:w="1540" w:type="dxa"/>
            <w:vAlign w:val="bottom"/>
            <w:tcBorders>
              <w:bottom w:val="single" w:sz="8" w:color="auto"/>
              <w:right w:val="single" w:sz="8" w:color="auto"/>
            </w:tcBorders>
          </w:tcPr>
          <w:p>
            <w:pPr>
              <w:jc w:val="right"/>
              <w:ind w:right="604"/>
              <w:spacing w:after="0"/>
              <w:rPr>
                <w:sz w:val="20"/>
                <w:szCs w:val="20"/>
                <w:color w:val="auto"/>
              </w:rPr>
            </w:pPr>
            <w:r>
              <w:rPr>
                <w:rFonts w:ascii="Arial" w:cs="Arial" w:eastAsia="Arial" w:hAnsi="Arial"/>
                <w:sz w:val="16"/>
                <w:szCs w:val="16"/>
                <w:color w:val="auto"/>
              </w:rPr>
              <w:t>(2)</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271,717</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1,421,717</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firstLine="8"/>
        <w:spacing w:after="0" w:line="274" w:lineRule="auto"/>
        <w:tabs>
          <w:tab w:leader="none" w:pos="223" w:val="left"/>
        </w:tabs>
        <w:numPr>
          <w:ilvl w:val="0"/>
          <w:numId w:val="52"/>
        </w:numPr>
        <w:rPr>
          <w:rFonts w:ascii="Arial" w:cs="Arial" w:eastAsia="Arial" w:hAnsi="Arial"/>
          <w:sz w:val="15"/>
          <w:szCs w:val="15"/>
          <w:color w:val="auto"/>
        </w:rPr>
      </w:pPr>
      <w:r>
        <w:rPr>
          <w:rFonts w:ascii="Arial" w:cs="Arial" w:eastAsia="Arial" w:hAnsi="Arial"/>
          <w:sz w:val="15"/>
          <w:szCs w:val="15"/>
          <w:color w:val="auto"/>
        </w:rPr>
        <w:t>Amounts represent the incremental fair value (determined in accordance with ASC Topic 718) associated with the acceleration of equity awards under the separation agreements, as further described below under “</w:t>
      </w:r>
      <w:r>
        <w:rPr>
          <w:rFonts w:ascii="Arial" w:cs="Arial" w:eastAsia="Arial" w:hAnsi="Arial"/>
          <w:sz w:val="15"/>
          <w:szCs w:val="15"/>
          <w:i w:val="1"/>
          <w:iCs w:val="1"/>
          <w:color w:val="auto"/>
        </w:rPr>
        <w:t>Separation Agreements</w:t>
      </w:r>
      <w:r>
        <w:rPr>
          <w:rFonts w:ascii="Arial" w:cs="Arial" w:eastAsia="Arial" w:hAnsi="Arial"/>
          <w:sz w:val="15"/>
          <w:szCs w:val="15"/>
          <w:color w:val="auto"/>
        </w:rPr>
        <w:t>”.</w:t>
      </w:r>
    </w:p>
    <w:p>
      <w:pPr>
        <w:spacing w:after="0" w:line="11" w:lineRule="exact"/>
        <w:rPr>
          <w:rFonts w:ascii="Arial" w:cs="Arial" w:eastAsia="Arial" w:hAnsi="Arial"/>
          <w:sz w:val="15"/>
          <w:szCs w:val="15"/>
          <w:color w:val="auto"/>
        </w:rPr>
      </w:pP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Ms. Frank did not participate in our group health plans as an employee as of December 31, 2021 and, as a result, did not receive any COBRA continuation payments.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2021</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table provides supplemental information relating to grants of plan-based awards made during fiscal 2021 to help explain information provided above in our Summary Compensation Table. This table presents information regarding all grants of plan-based awards occurring during fiscal 2021 (all of which were granted under the 2021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137795</wp:posOffset>
            </wp:positionV>
            <wp:extent cx="59690" cy="2051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690" cy="205105"/>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137795</wp:posOffset>
            </wp:positionV>
            <wp:extent cx="59690" cy="2051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9690" cy="20510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137795</wp:posOffset>
            </wp:positionV>
            <wp:extent cx="50800" cy="2051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0800" cy="205105"/>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137795</wp:posOffset>
            </wp:positionV>
            <wp:extent cx="261620" cy="2051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1620" cy="2051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2120" w:type="dxa"/>
            <w:vAlign w:val="bottom"/>
            <w:tcBorders>
              <w:top w:val="single" w:sz="8" w:color="auto"/>
              <w:left w:val="single" w:sz="8" w:color="auto"/>
            </w:tcBorders>
            <w:vMerge w:val="restart"/>
            <w:shd w:val="clear" w:color="auto" w:fill="CFF0FC"/>
          </w:tcPr>
          <w:p>
            <w:pPr>
              <w:ind w:left="40"/>
              <w:spacing w:after="0"/>
              <w:rPr>
                <w:sz w:val="20"/>
                <w:szCs w:val="20"/>
                <w:color w:val="auto"/>
              </w:rPr>
            </w:pPr>
            <w:r>
              <w:rPr>
                <w:rFonts w:ascii="Arial" w:cs="Arial" w:eastAsia="Arial" w:hAnsi="Arial"/>
                <w:sz w:val="13"/>
                <w:szCs w:val="13"/>
                <w:b w:val="1"/>
                <w:bCs w:val="1"/>
                <w:color w:val="auto"/>
              </w:rPr>
              <w:t>Name</w:t>
            </w:r>
          </w:p>
        </w:tc>
        <w:tc>
          <w:tcPr>
            <w:tcW w:w="1460" w:type="dxa"/>
            <w:vAlign w:val="bottom"/>
            <w:tcBorders>
              <w:top w:val="single" w:sz="8" w:color="auto"/>
            </w:tcBorders>
            <w:vMerge w:val="restart"/>
            <w:shd w:val="clear" w:color="auto" w:fill="CFF0FC"/>
          </w:tcPr>
          <w:p>
            <w:pPr>
              <w:ind w:left="20"/>
              <w:spacing w:after="0"/>
              <w:rPr>
                <w:sz w:val="20"/>
                <w:szCs w:val="20"/>
                <w:color w:val="auto"/>
              </w:rPr>
            </w:pPr>
            <w:r>
              <w:rPr>
                <w:rFonts w:ascii="Arial" w:cs="Arial" w:eastAsia="Arial" w:hAnsi="Arial"/>
                <w:sz w:val="13"/>
                <w:szCs w:val="13"/>
                <w:b w:val="1"/>
                <w:bCs w:val="1"/>
                <w:color w:val="auto"/>
              </w:rPr>
              <w:t>Grant Date</w:t>
            </w:r>
          </w:p>
        </w:tc>
        <w:tc>
          <w:tcPr>
            <w:tcW w:w="1860" w:type="dxa"/>
            <w:vAlign w:val="bottom"/>
            <w:tcBorders>
              <w:top w:val="single" w:sz="8" w:color="auto"/>
            </w:tcBorders>
            <w:gridSpan w:val="2"/>
            <w:shd w:val="clear" w:color="auto" w:fill="CFF0FC"/>
          </w:tcPr>
          <w:p>
            <w:pPr>
              <w:jc w:val="center"/>
              <w:spacing w:after="0" w:line="122" w:lineRule="exact"/>
              <w:rPr>
                <w:sz w:val="20"/>
                <w:szCs w:val="20"/>
                <w:color w:val="auto"/>
              </w:rPr>
            </w:pPr>
            <w:r>
              <w:rPr>
                <w:rFonts w:ascii="Arial" w:cs="Arial" w:eastAsia="Arial" w:hAnsi="Arial"/>
                <w:sz w:val="13"/>
                <w:szCs w:val="13"/>
                <w:b w:val="1"/>
                <w:bCs w:val="1"/>
                <w:color w:val="auto"/>
                <w:w w:val="90"/>
              </w:rPr>
              <w:t>All Other Stock Awards: Number</w:t>
            </w:r>
          </w:p>
        </w:tc>
        <w:tc>
          <w:tcPr>
            <w:tcW w:w="4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vMerge w:val="continue"/>
            <w:shd w:val="clear" w:color="auto" w:fill="CFF0FC"/>
          </w:tcPr>
          <w:p>
            <w:pPr>
              <w:spacing w:after="0"/>
              <w:rPr>
                <w:sz w:val="12"/>
                <w:szCs w:val="12"/>
                <w:color w:val="auto"/>
              </w:rPr>
            </w:pPr>
          </w:p>
        </w:tc>
        <w:tc>
          <w:tcPr>
            <w:tcW w:w="146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center"/>
              <w:ind w:right="80"/>
              <w:spacing w:after="0"/>
              <w:rPr>
                <w:sz w:val="20"/>
                <w:szCs w:val="20"/>
                <w:color w:val="auto"/>
              </w:rPr>
            </w:pPr>
            <w:r>
              <w:rPr>
                <w:rFonts w:ascii="Arial" w:cs="Arial" w:eastAsia="Arial" w:hAnsi="Arial"/>
                <w:sz w:val="13"/>
                <w:szCs w:val="13"/>
                <w:b w:val="1"/>
                <w:bCs w:val="1"/>
                <w:color w:val="auto"/>
                <w:w w:val="86"/>
              </w:rPr>
              <w:t>of Shares of Stock or Units (#)</w:t>
            </w:r>
          </w:p>
        </w:tc>
        <w:tc>
          <w:tcPr>
            <w:tcW w:w="0" w:type="dxa"/>
            <w:vAlign w:val="bottom"/>
          </w:tcPr>
          <w:p>
            <w:pPr>
              <w:spacing w:after="0"/>
              <w:rPr>
                <w:sz w:val="1"/>
                <w:szCs w:val="1"/>
                <w:color w:val="auto"/>
              </w:rPr>
            </w:pPr>
          </w:p>
        </w:tc>
      </w:tr>
      <w:tr>
        <w:trPr>
          <w:trHeight w:val="115"/>
        </w:trPr>
        <w:tc>
          <w:tcPr>
            <w:tcW w:w="2120" w:type="dxa"/>
            <w:vAlign w:val="bottom"/>
            <w:tcBorders>
              <w:top w:val="single" w:sz="8" w:color="auto"/>
              <w:left w:val="single" w:sz="8" w:color="auto"/>
            </w:tcBorders>
          </w:tcPr>
          <w:p>
            <w:pPr>
              <w:ind w:left="40"/>
              <w:spacing w:after="0" w:line="115" w:lineRule="exact"/>
              <w:rPr>
                <w:sz w:val="20"/>
                <w:szCs w:val="20"/>
                <w:color w:val="auto"/>
              </w:rPr>
            </w:pPr>
            <w:r>
              <w:rPr>
                <w:rFonts w:ascii="Arial" w:cs="Arial" w:eastAsia="Arial" w:hAnsi="Arial"/>
                <w:sz w:val="13"/>
                <w:szCs w:val="13"/>
                <w:color w:val="auto"/>
              </w:rPr>
              <w:t>Oren Frank</w:t>
            </w:r>
          </w:p>
        </w:tc>
        <w:tc>
          <w:tcPr>
            <w:tcW w:w="146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0"/>
                <w:szCs w:val="10"/>
                <w:color w:val="auto"/>
              </w:rPr>
              <w:t>1/15/2016</w:t>
            </w:r>
            <w:r>
              <w:rPr>
                <w:rFonts w:ascii="Arial" w:cs="Arial" w:eastAsia="Arial" w:hAnsi="Arial"/>
                <w:sz w:val="13"/>
                <w:szCs w:val="13"/>
                <w:color w:val="auto"/>
                <w:vertAlign w:val="superscript"/>
              </w:rPr>
              <w:t>(9)</w:t>
            </w:r>
          </w:p>
        </w:tc>
        <w:tc>
          <w:tcPr>
            <w:tcW w:w="18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9/1/2016</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10/17/2017</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8/5/2019</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8/18/2020</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7/15/2021</w:t>
            </w:r>
            <w:r>
              <w:rPr>
                <w:rFonts w:ascii="Arial" w:cs="Arial" w:eastAsia="Arial" w:hAnsi="Arial"/>
                <w:sz w:val="16"/>
                <w:szCs w:val="16"/>
                <w:color w:val="auto"/>
                <w:vertAlign w:val="superscript"/>
              </w:rPr>
              <w:t>(1)</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tcBorders>
              <w:left w:val="single" w:sz="8" w:color="auto"/>
            </w:tcBorders>
          </w:tcPr>
          <w:p>
            <w:pPr>
              <w:spacing w:after="0"/>
              <w:rPr>
                <w:sz w:val="14"/>
                <w:szCs w:val="14"/>
                <w:color w:val="auto"/>
              </w:rPr>
            </w:pPr>
          </w:p>
        </w:tc>
        <w:tc>
          <w:tcPr>
            <w:tcW w:w="1460" w:type="dxa"/>
            <w:vAlign w:val="bottom"/>
          </w:tcPr>
          <w:p>
            <w:pPr>
              <w:ind w:left="20"/>
              <w:spacing w:after="0" w:line="161" w:lineRule="exact"/>
              <w:rPr>
                <w:sz w:val="20"/>
                <w:szCs w:val="20"/>
                <w:color w:val="auto"/>
              </w:rPr>
            </w:pPr>
            <w:r>
              <w:rPr>
                <w:rFonts w:ascii="Arial" w:cs="Arial" w:eastAsia="Arial" w:hAnsi="Arial"/>
                <w:sz w:val="13"/>
                <w:szCs w:val="13"/>
                <w:color w:val="auto"/>
              </w:rPr>
              <w:t>10/18/2021</w:t>
            </w:r>
            <w:r>
              <w:rPr>
                <w:rFonts w:ascii="Arial" w:cs="Arial" w:eastAsia="Arial" w:hAnsi="Arial"/>
                <w:sz w:val="16"/>
                <w:szCs w:val="16"/>
                <w:color w:val="auto"/>
                <w:vertAlign w:val="superscript"/>
              </w:rPr>
              <w:t>(2)</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433,125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tcBorders>
          </w:tcPr>
          <w:p>
            <w:pPr>
              <w:ind w:left="40"/>
              <w:spacing w:after="0" w:line="136" w:lineRule="exact"/>
              <w:rPr>
                <w:sz w:val="20"/>
                <w:szCs w:val="20"/>
                <w:color w:val="auto"/>
              </w:rPr>
            </w:pPr>
            <w:r>
              <w:rPr>
                <w:rFonts w:ascii="Arial" w:cs="Arial" w:eastAsia="Arial" w:hAnsi="Arial"/>
                <w:sz w:val="13"/>
                <w:szCs w:val="13"/>
                <w:color w:val="auto"/>
              </w:rPr>
              <w:t>Jennifer Fulk</w:t>
            </w:r>
          </w:p>
        </w:tc>
        <w:tc>
          <w:tcPr>
            <w:tcW w:w="14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7/15/2021</w:t>
            </w:r>
            <w:r>
              <w:rPr>
                <w:rFonts w:ascii="Arial" w:cs="Arial" w:eastAsia="Arial" w:hAnsi="Arial"/>
                <w:sz w:val="15"/>
                <w:szCs w:val="15"/>
                <w:color w:val="auto"/>
                <w:vertAlign w:val="superscript"/>
              </w:rPr>
              <w:t>(1)</w:t>
            </w:r>
          </w:p>
        </w:tc>
        <w:tc>
          <w:tcPr>
            <w:tcW w:w="18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auto"/>
            </w:tcBorders>
          </w:tcPr>
          <w:p>
            <w:pPr>
              <w:spacing w:after="0"/>
              <w:rPr>
                <w:sz w:val="2"/>
                <w:szCs w:val="2"/>
                <w:color w:val="auto"/>
              </w:rPr>
            </w:pPr>
          </w:p>
        </w:tc>
        <w:tc>
          <w:tcPr>
            <w:tcW w:w="1460" w:type="dxa"/>
            <w:vAlign w:val="bottom"/>
            <w:vMerge w:val="restart"/>
            <w:shd w:val="clear" w:color="auto" w:fill="CFF0FC"/>
          </w:tcPr>
          <w:p>
            <w:pPr>
              <w:ind w:left="20"/>
              <w:spacing w:after="0" w:line="161" w:lineRule="exact"/>
              <w:rPr>
                <w:sz w:val="20"/>
                <w:szCs w:val="20"/>
                <w:color w:val="auto"/>
              </w:rPr>
            </w:pPr>
            <w:r>
              <w:rPr>
                <w:rFonts w:ascii="Arial" w:cs="Arial" w:eastAsia="Arial" w:hAnsi="Arial"/>
                <w:sz w:val="13"/>
                <w:szCs w:val="13"/>
                <w:color w:val="auto"/>
              </w:rPr>
              <w:t>10/18/2021</w:t>
            </w:r>
            <w:r>
              <w:rPr>
                <w:rFonts w:ascii="Arial" w:cs="Arial" w:eastAsia="Arial" w:hAnsi="Arial"/>
                <w:sz w:val="16"/>
                <w:szCs w:val="16"/>
                <w:color w:val="auto"/>
                <w:vertAlign w:val="superscript"/>
              </w:rPr>
              <w:t>(2)</w:t>
            </w:r>
          </w:p>
        </w:tc>
        <w:tc>
          <w:tcPr>
            <w:tcW w:w="1860" w:type="dxa"/>
            <w:vAlign w:val="bottom"/>
            <w:gridSpan w:val="2"/>
            <w:vMerge w:val="restart"/>
          </w:tcPr>
          <w:p>
            <w:pPr>
              <w:jc w:val="right"/>
              <w:spacing w:after="0"/>
              <w:rPr>
                <w:sz w:val="20"/>
                <w:szCs w:val="20"/>
                <w:color w:val="auto"/>
              </w:rPr>
            </w:pPr>
            <w:r>
              <w:rPr>
                <w:rFonts w:ascii="Arial" w:cs="Arial" w:eastAsia="Arial" w:hAnsi="Arial"/>
                <w:sz w:val="13"/>
                <w:szCs w:val="13"/>
                <w:color w:val="auto"/>
              </w:rPr>
              <w:t>123,750</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20" w:type="dxa"/>
            <w:vAlign w:val="bottom"/>
            <w:tcBorders>
              <w:left w:val="single" w:sz="8" w:color="auto"/>
            </w:tcBorders>
            <w:shd w:val="clear" w:color="auto" w:fill="CFF0FC"/>
          </w:tcPr>
          <w:p>
            <w:pPr>
              <w:spacing w:after="0"/>
              <w:rPr>
                <w:sz w:val="12"/>
                <w:szCs w:val="12"/>
                <w:color w:val="auto"/>
              </w:rPr>
            </w:pPr>
          </w:p>
        </w:tc>
        <w:tc>
          <w:tcPr>
            <w:tcW w:w="1460" w:type="dxa"/>
            <w:vAlign w:val="bottom"/>
            <w:vMerge w:val="continue"/>
            <w:shd w:val="clear" w:color="auto" w:fill="CFF0FC"/>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120" w:type="dxa"/>
            <w:vAlign w:val="bottom"/>
            <w:tcBorders>
              <w:left w:val="single" w:sz="8" w:color="auto"/>
            </w:tcBorders>
          </w:tcPr>
          <w:p>
            <w:pPr>
              <w:ind w:left="40"/>
              <w:spacing w:after="0" w:line="121" w:lineRule="exact"/>
              <w:rPr>
                <w:sz w:val="20"/>
                <w:szCs w:val="20"/>
                <w:color w:val="auto"/>
              </w:rPr>
            </w:pPr>
            <w:r>
              <w:rPr>
                <w:rFonts w:ascii="Arial" w:cs="Arial" w:eastAsia="Arial" w:hAnsi="Arial"/>
                <w:sz w:val="13"/>
                <w:szCs w:val="13"/>
                <w:color w:val="auto"/>
              </w:rPr>
              <w:t>Mark Hirschhorn</w:t>
            </w:r>
          </w:p>
        </w:tc>
        <w:tc>
          <w:tcPr>
            <w:tcW w:w="1460" w:type="dxa"/>
            <w:vAlign w:val="bottom"/>
          </w:tcPr>
          <w:p>
            <w:pPr>
              <w:ind w:left="20"/>
              <w:spacing w:after="0" w:line="121" w:lineRule="exact"/>
              <w:rPr>
                <w:sz w:val="20"/>
                <w:szCs w:val="20"/>
                <w:color w:val="auto"/>
              </w:rPr>
            </w:pPr>
            <w:r>
              <w:rPr>
                <w:rFonts w:ascii="Arial" w:cs="Arial" w:eastAsia="Arial" w:hAnsi="Arial"/>
                <w:sz w:val="11"/>
                <w:szCs w:val="11"/>
                <w:color w:val="auto"/>
              </w:rPr>
              <w:t>2/11/2020</w:t>
            </w:r>
            <w:r>
              <w:rPr>
                <w:rFonts w:ascii="Arial" w:cs="Arial" w:eastAsia="Arial" w:hAnsi="Arial"/>
                <w:sz w:val="14"/>
                <w:szCs w:val="14"/>
                <w:color w:val="auto"/>
                <w:vertAlign w:val="superscript"/>
              </w:rPr>
              <w:t>(9)</w:t>
            </w:r>
          </w:p>
        </w:tc>
        <w:tc>
          <w:tcPr>
            <w:tcW w:w="1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2/11/2020</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7/15/2021</w:t>
            </w:r>
            <w:r>
              <w:rPr>
                <w:rFonts w:ascii="Arial" w:cs="Arial" w:eastAsia="Arial" w:hAnsi="Arial"/>
                <w:sz w:val="16"/>
                <w:szCs w:val="16"/>
                <w:color w:val="auto"/>
                <w:vertAlign w:val="superscript"/>
              </w:rPr>
              <w:t>(1)</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tcBorders>
              <w:left w:val="single" w:sz="8" w:color="auto"/>
            </w:tcBorders>
          </w:tcPr>
          <w:p>
            <w:pPr>
              <w:spacing w:after="0"/>
              <w:rPr>
                <w:sz w:val="14"/>
                <w:szCs w:val="14"/>
                <w:color w:val="auto"/>
              </w:rPr>
            </w:pPr>
          </w:p>
        </w:tc>
        <w:tc>
          <w:tcPr>
            <w:tcW w:w="1460" w:type="dxa"/>
            <w:vAlign w:val="bottom"/>
          </w:tcPr>
          <w:p>
            <w:pPr>
              <w:ind w:left="20"/>
              <w:spacing w:after="0" w:line="161" w:lineRule="exact"/>
              <w:rPr>
                <w:sz w:val="20"/>
                <w:szCs w:val="20"/>
                <w:color w:val="auto"/>
              </w:rPr>
            </w:pPr>
            <w:r>
              <w:rPr>
                <w:rFonts w:ascii="Arial" w:cs="Arial" w:eastAsia="Arial" w:hAnsi="Arial"/>
                <w:sz w:val="13"/>
                <w:szCs w:val="13"/>
                <w:color w:val="auto"/>
              </w:rPr>
              <w:t>10/18/2021</w:t>
            </w:r>
            <w:r>
              <w:rPr>
                <w:rFonts w:ascii="Arial" w:cs="Arial" w:eastAsia="Arial" w:hAnsi="Arial"/>
                <w:sz w:val="16"/>
                <w:szCs w:val="16"/>
                <w:color w:val="auto"/>
                <w:vertAlign w:val="superscript"/>
              </w:rPr>
              <w:t>(2)</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247,500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tcBorders>
          </w:tcPr>
          <w:p>
            <w:pPr>
              <w:ind w:left="40"/>
              <w:spacing w:after="0" w:line="136" w:lineRule="exact"/>
              <w:rPr>
                <w:sz w:val="20"/>
                <w:szCs w:val="20"/>
                <w:color w:val="auto"/>
              </w:rPr>
            </w:pPr>
            <w:r>
              <w:rPr>
                <w:rFonts w:ascii="Arial" w:cs="Arial" w:eastAsia="Arial" w:hAnsi="Arial"/>
                <w:sz w:val="13"/>
                <w:szCs w:val="13"/>
                <w:color w:val="auto"/>
              </w:rPr>
              <w:t>Samara H. Braunstein</w:t>
            </w:r>
          </w:p>
        </w:tc>
        <w:tc>
          <w:tcPr>
            <w:tcW w:w="14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1/14/2021</w:t>
            </w:r>
            <w:r>
              <w:rPr>
                <w:rFonts w:ascii="Arial" w:cs="Arial" w:eastAsia="Arial" w:hAnsi="Arial"/>
                <w:sz w:val="15"/>
                <w:szCs w:val="15"/>
                <w:color w:val="auto"/>
                <w:vertAlign w:val="superscript"/>
              </w:rPr>
              <w:t>(5)</w:t>
            </w:r>
          </w:p>
        </w:tc>
        <w:tc>
          <w:tcPr>
            <w:tcW w:w="18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auto"/>
            </w:tcBorders>
          </w:tcPr>
          <w:p>
            <w:pPr>
              <w:spacing w:after="0"/>
              <w:rPr>
                <w:sz w:val="2"/>
                <w:szCs w:val="2"/>
                <w:color w:val="auto"/>
              </w:rPr>
            </w:pPr>
          </w:p>
        </w:tc>
        <w:tc>
          <w:tcPr>
            <w:tcW w:w="1460" w:type="dxa"/>
            <w:vAlign w:val="bottom"/>
            <w:vMerge w:val="restart"/>
            <w:shd w:val="clear" w:color="auto" w:fill="CFF0FC"/>
          </w:tcPr>
          <w:p>
            <w:pPr>
              <w:ind w:left="20"/>
              <w:spacing w:after="0" w:line="148" w:lineRule="exact"/>
              <w:rPr>
                <w:sz w:val="20"/>
                <w:szCs w:val="20"/>
                <w:color w:val="auto"/>
              </w:rPr>
            </w:pPr>
            <w:r>
              <w:rPr>
                <w:rFonts w:ascii="Arial" w:cs="Arial" w:eastAsia="Arial" w:hAnsi="Arial"/>
                <w:sz w:val="13"/>
                <w:szCs w:val="13"/>
                <w:color w:val="auto"/>
              </w:rPr>
              <w:t>7/15/2021</w:t>
            </w:r>
            <w:r>
              <w:rPr>
                <w:rFonts w:ascii="Arial" w:cs="Arial" w:eastAsia="Arial" w:hAnsi="Arial"/>
                <w:sz w:val="16"/>
                <w:szCs w:val="16"/>
                <w:color w:val="auto"/>
                <w:vertAlign w:val="superscript"/>
              </w:rPr>
              <w:t>(1)</w:t>
            </w:r>
          </w:p>
        </w:tc>
        <w:tc>
          <w:tcPr>
            <w:tcW w:w="40" w:type="dxa"/>
            <w:vAlign w:val="bottom"/>
          </w:tcPr>
          <w:p>
            <w:pPr>
              <w:spacing w:after="0"/>
              <w:rPr>
                <w:sz w:val="2"/>
                <w:szCs w:val="2"/>
                <w:color w:val="auto"/>
              </w:rPr>
            </w:pPr>
          </w:p>
        </w:tc>
        <w:tc>
          <w:tcPr>
            <w:tcW w:w="1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120" w:type="dxa"/>
            <w:vAlign w:val="bottom"/>
            <w:tcBorders>
              <w:left w:val="single" w:sz="8" w:color="auto"/>
            </w:tcBorders>
            <w:shd w:val="clear" w:color="auto" w:fill="CFF0FC"/>
          </w:tcPr>
          <w:p>
            <w:pPr>
              <w:spacing w:after="0"/>
              <w:rPr>
                <w:sz w:val="10"/>
                <w:szCs w:val="10"/>
                <w:color w:val="auto"/>
              </w:rPr>
            </w:pPr>
          </w:p>
        </w:tc>
        <w:tc>
          <w:tcPr>
            <w:tcW w:w="1460" w:type="dxa"/>
            <w:vAlign w:val="bottom"/>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20" w:type="dxa"/>
            <w:vAlign w:val="bottom"/>
            <w:tcBorders>
              <w:left w:val="single" w:sz="8" w:color="auto"/>
            </w:tcBorders>
            <w:shd w:val="clear" w:color="auto" w:fill="CFF0FC"/>
          </w:tcPr>
          <w:p>
            <w:pPr>
              <w:spacing w:after="0"/>
              <w:rPr>
                <w:sz w:val="15"/>
                <w:szCs w:val="15"/>
                <w:color w:val="auto"/>
              </w:rPr>
            </w:pPr>
          </w:p>
        </w:tc>
        <w:tc>
          <w:tcPr>
            <w:tcW w:w="1460" w:type="dxa"/>
            <w:vAlign w:val="bottom"/>
            <w:shd w:val="clear" w:color="auto" w:fill="CFF0FC"/>
          </w:tcPr>
          <w:p>
            <w:pPr>
              <w:ind w:left="20"/>
              <w:spacing w:after="0" w:line="161" w:lineRule="exact"/>
              <w:rPr>
                <w:sz w:val="20"/>
                <w:szCs w:val="20"/>
                <w:color w:val="auto"/>
              </w:rPr>
            </w:pPr>
            <w:r>
              <w:rPr>
                <w:rFonts w:ascii="Arial" w:cs="Arial" w:eastAsia="Arial" w:hAnsi="Arial"/>
                <w:sz w:val="13"/>
                <w:szCs w:val="13"/>
                <w:color w:val="auto"/>
              </w:rPr>
              <w:t>10/18/2021</w:t>
            </w:r>
            <w:r>
              <w:rPr>
                <w:rFonts w:ascii="Arial" w:cs="Arial" w:eastAsia="Arial" w:hAnsi="Arial"/>
                <w:sz w:val="16"/>
                <w:szCs w:val="16"/>
                <w:color w:val="auto"/>
                <w:vertAlign w:val="superscript"/>
              </w:rPr>
              <w:t>(2)</w:t>
            </w:r>
          </w:p>
        </w:tc>
        <w:tc>
          <w:tcPr>
            <w:tcW w:w="40" w:type="dxa"/>
            <w:vAlign w:val="bottom"/>
            <w:shd w:val="clear" w:color="auto" w:fill="CFF0FC"/>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123,750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20" w:type="dxa"/>
            <w:vAlign w:val="bottom"/>
            <w:tcBorders>
              <w:left w:val="single" w:sz="8" w:color="auto"/>
            </w:tcBorders>
          </w:tcPr>
          <w:p>
            <w:pPr>
              <w:ind w:left="40"/>
              <w:spacing w:after="0" w:line="121" w:lineRule="exact"/>
              <w:rPr>
                <w:sz w:val="20"/>
                <w:szCs w:val="20"/>
                <w:color w:val="auto"/>
              </w:rPr>
            </w:pPr>
            <w:r>
              <w:rPr>
                <w:rFonts w:ascii="Arial" w:cs="Arial" w:eastAsia="Arial" w:hAnsi="Arial"/>
                <w:sz w:val="13"/>
                <w:szCs w:val="13"/>
                <w:color w:val="auto"/>
              </w:rPr>
              <w:t>Gil Margolin</w:t>
            </w:r>
          </w:p>
        </w:tc>
        <w:tc>
          <w:tcPr>
            <w:tcW w:w="1460" w:type="dxa"/>
            <w:vAlign w:val="bottom"/>
          </w:tcPr>
          <w:p>
            <w:pPr>
              <w:ind w:left="20"/>
              <w:spacing w:after="0" w:line="121" w:lineRule="exact"/>
              <w:rPr>
                <w:sz w:val="20"/>
                <w:szCs w:val="20"/>
                <w:color w:val="auto"/>
              </w:rPr>
            </w:pPr>
            <w:r>
              <w:rPr>
                <w:rFonts w:ascii="Arial" w:cs="Arial" w:eastAsia="Arial" w:hAnsi="Arial"/>
                <w:sz w:val="11"/>
                <w:szCs w:val="11"/>
                <w:color w:val="auto"/>
              </w:rPr>
              <w:t>12/8/2014</w:t>
            </w:r>
            <w:r>
              <w:rPr>
                <w:rFonts w:ascii="Arial" w:cs="Arial" w:eastAsia="Arial" w:hAnsi="Arial"/>
                <w:sz w:val="14"/>
                <w:szCs w:val="14"/>
                <w:color w:val="auto"/>
                <w:vertAlign w:val="superscript"/>
              </w:rPr>
              <w:t>(9)</w:t>
            </w:r>
          </w:p>
        </w:tc>
        <w:tc>
          <w:tcPr>
            <w:tcW w:w="40" w:type="dxa"/>
            <w:vAlign w:val="bottom"/>
          </w:tcPr>
          <w:p>
            <w:pPr>
              <w:spacing w:after="0"/>
              <w:rPr>
                <w:sz w:val="10"/>
                <w:szCs w:val="10"/>
                <w:color w:val="auto"/>
              </w:rPr>
            </w:pPr>
          </w:p>
        </w:tc>
        <w:tc>
          <w:tcPr>
            <w:tcW w:w="182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9/1/2016</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10/17/2017</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8/5/2019</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8/18/2020</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7/15/2021</w:t>
            </w:r>
            <w:r>
              <w:rPr>
                <w:rFonts w:ascii="Arial" w:cs="Arial" w:eastAsia="Arial" w:hAnsi="Arial"/>
                <w:sz w:val="16"/>
                <w:szCs w:val="16"/>
                <w:color w:val="auto"/>
                <w:vertAlign w:val="superscript"/>
              </w:rPr>
              <w:t>(1)</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tcBorders>
              <w:left w:val="single" w:sz="8" w:color="auto"/>
            </w:tcBorders>
          </w:tcPr>
          <w:p>
            <w:pPr>
              <w:spacing w:after="0"/>
              <w:rPr>
                <w:sz w:val="14"/>
                <w:szCs w:val="14"/>
                <w:color w:val="auto"/>
              </w:rPr>
            </w:pPr>
          </w:p>
        </w:tc>
        <w:tc>
          <w:tcPr>
            <w:tcW w:w="1460" w:type="dxa"/>
            <w:vAlign w:val="bottom"/>
          </w:tcPr>
          <w:p>
            <w:pPr>
              <w:ind w:left="20"/>
              <w:spacing w:after="0" w:line="161" w:lineRule="exact"/>
              <w:rPr>
                <w:sz w:val="20"/>
                <w:szCs w:val="20"/>
                <w:color w:val="auto"/>
              </w:rPr>
            </w:pPr>
            <w:r>
              <w:rPr>
                <w:rFonts w:ascii="Arial" w:cs="Arial" w:eastAsia="Arial" w:hAnsi="Arial"/>
                <w:sz w:val="13"/>
                <w:szCs w:val="13"/>
                <w:color w:val="auto"/>
              </w:rPr>
              <w:t>10/18/2021</w:t>
            </w:r>
            <w:r>
              <w:rPr>
                <w:rFonts w:ascii="Arial" w:cs="Arial" w:eastAsia="Arial" w:hAnsi="Arial"/>
                <w:sz w:val="16"/>
                <w:szCs w:val="16"/>
                <w:color w:val="auto"/>
                <w:vertAlign w:val="superscript"/>
              </w:rPr>
              <w:t>(2)</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123,750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tcBorders>
          </w:tcPr>
          <w:p>
            <w:pPr>
              <w:ind w:left="40"/>
              <w:spacing w:after="0" w:line="136" w:lineRule="exact"/>
              <w:rPr>
                <w:sz w:val="20"/>
                <w:szCs w:val="20"/>
                <w:color w:val="auto"/>
              </w:rPr>
            </w:pPr>
            <w:r>
              <w:rPr>
                <w:rFonts w:ascii="Arial" w:cs="Arial" w:eastAsia="Arial" w:hAnsi="Arial"/>
                <w:sz w:val="13"/>
                <w:szCs w:val="13"/>
                <w:color w:val="auto"/>
              </w:rPr>
              <w:t>John C. Reilly</w:t>
            </w:r>
          </w:p>
        </w:tc>
        <w:tc>
          <w:tcPr>
            <w:tcW w:w="14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3/1/2017</w:t>
            </w:r>
            <w:r>
              <w:rPr>
                <w:rFonts w:ascii="Arial" w:cs="Arial" w:eastAsia="Arial" w:hAnsi="Arial"/>
                <w:sz w:val="15"/>
                <w:szCs w:val="15"/>
                <w:color w:val="auto"/>
                <w:vertAlign w:val="superscript"/>
              </w:rPr>
              <w:t>(9)</w:t>
            </w:r>
          </w:p>
        </w:tc>
        <w:tc>
          <w:tcPr>
            <w:tcW w:w="18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auto"/>
            </w:tcBorders>
          </w:tcPr>
          <w:p>
            <w:pPr>
              <w:spacing w:after="0"/>
              <w:rPr>
                <w:sz w:val="2"/>
                <w:szCs w:val="2"/>
                <w:color w:val="auto"/>
              </w:rPr>
            </w:pPr>
          </w:p>
        </w:tc>
        <w:tc>
          <w:tcPr>
            <w:tcW w:w="1460" w:type="dxa"/>
            <w:vAlign w:val="bottom"/>
            <w:vMerge w:val="restart"/>
            <w:shd w:val="clear" w:color="auto" w:fill="CFF0FC"/>
          </w:tcPr>
          <w:p>
            <w:pPr>
              <w:ind w:left="20"/>
              <w:spacing w:after="0" w:line="148" w:lineRule="exact"/>
              <w:rPr>
                <w:sz w:val="20"/>
                <w:szCs w:val="20"/>
                <w:color w:val="auto"/>
              </w:rPr>
            </w:pPr>
            <w:r>
              <w:rPr>
                <w:rFonts w:ascii="Arial" w:cs="Arial" w:eastAsia="Arial" w:hAnsi="Arial"/>
                <w:sz w:val="13"/>
                <w:szCs w:val="13"/>
                <w:color w:val="auto"/>
              </w:rPr>
              <w:t>8/5/2019</w:t>
            </w:r>
            <w:r>
              <w:rPr>
                <w:rFonts w:ascii="Arial" w:cs="Arial" w:eastAsia="Arial" w:hAnsi="Arial"/>
                <w:sz w:val="16"/>
                <w:szCs w:val="16"/>
                <w:color w:val="auto"/>
                <w:vertAlign w:val="superscript"/>
              </w:rPr>
              <w:t>(9)</w:t>
            </w:r>
          </w:p>
        </w:tc>
        <w:tc>
          <w:tcPr>
            <w:tcW w:w="40" w:type="dxa"/>
            <w:vAlign w:val="bottom"/>
          </w:tcPr>
          <w:p>
            <w:pPr>
              <w:spacing w:after="0"/>
              <w:rPr>
                <w:sz w:val="2"/>
                <w:szCs w:val="2"/>
                <w:color w:val="auto"/>
              </w:rPr>
            </w:pPr>
          </w:p>
        </w:tc>
        <w:tc>
          <w:tcPr>
            <w:tcW w:w="1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120" w:type="dxa"/>
            <w:vAlign w:val="bottom"/>
            <w:tcBorders>
              <w:left w:val="single" w:sz="8" w:color="auto"/>
            </w:tcBorders>
            <w:shd w:val="clear" w:color="auto" w:fill="CFF0FC"/>
          </w:tcPr>
          <w:p>
            <w:pPr>
              <w:spacing w:after="0"/>
              <w:rPr>
                <w:sz w:val="10"/>
                <w:szCs w:val="10"/>
                <w:color w:val="auto"/>
              </w:rPr>
            </w:pPr>
          </w:p>
        </w:tc>
        <w:tc>
          <w:tcPr>
            <w:tcW w:w="1460" w:type="dxa"/>
            <w:vAlign w:val="bottom"/>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auto"/>
            </w:tcBorders>
            <w:shd w:val="clear" w:color="auto" w:fill="CFF0FC"/>
          </w:tcPr>
          <w:p>
            <w:pPr>
              <w:spacing w:after="0"/>
              <w:rPr>
                <w:sz w:val="2"/>
                <w:szCs w:val="2"/>
                <w:color w:val="auto"/>
              </w:rPr>
            </w:pPr>
          </w:p>
        </w:tc>
        <w:tc>
          <w:tcPr>
            <w:tcW w:w="1460" w:type="dxa"/>
            <w:vAlign w:val="bottom"/>
            <w:vMerge w:val="restart"/>
            <w:shd w:val="clear" w:color="auto" w:fill="CFF0FC"/>
          </w:tcPr>
          <w:p>
            <w:pPr>
              <w:ind w:left="20"/>
              <w:spacing w:after="0" w:line="148" w:lineRule="exact"/>
              <w:rPr>
                <w:sz w:val="20"/>
                <w:szCs w:val="20"/>
                <w:color w:val="auto"/>
              </w:rPr>
            </w:pPr>
            <w:r>
              <w:rPr>
                <w:rFonts w:ascii="Arial" w:cs="Arial" w:eastAsia="Arial" w:hAnsi="Arial"/>
                <w:sz w:val="13"/>
                <w:szCs w:val="13"/>
                <w:color w:val="auto"/>
              </w:rPr>
              <w:t>8/18/2020</w:t>
            </w:r>
            <w:r>
              <w:rPr>
                <w:rFonts w:ascii="Arial" w:cs="Arial" w:eastAsia="Arial" w:hAnsi="Arial"/>
                <w:sz w:val="16"/>
                <w:szCs w:val="16"/>
                <w:color w:val="auto"/>
                <w:vertAlign w:val="superscript"/>
              </w:rPr>
              <w:t>(9)</w:t>
            </w:r>
          </w:p>
        </w:tc>
        <w:tc>
          <w:tcPr>
            <w:tcW w:w="40" w:type="dxa"/>
            <w:vAlign w:val="bottom"/>
            <w:shd w:val="clear" w:color="auto" w:fill="CFF0FC"/>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120" w:type="dxa"/>
            <w:vAlign w:val="bottom"/>
            <w:tcBorders>
              <w:left w:val="single" w:sz="8" w:color="auto"/>
            </w:tcBorders>
            <w:shd w:val="clear" w:color="auto" w:fill="CFF0FC"/>
          </w:tcPr>
          <w:p>
            <w:pPr>
              <w:spacing w:after="0"/>
              <w:rPr>
                <w:sz w:val="10"/>
                <w:szCs w:val="10"/>
                <w:color w:val="auto"/>
              </w:rPr>
            </w:pPr>
          </w:p>
        </w:tc>
        <w:tc>
          <w:tcPr>
            <w:tcW w:w="1460" w:type="dxa"/>
            <w:vAlign w:val="bottom"/>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2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auto"/>
            </w:tcBorders>
            <w:shd w:val="clear" w:color="auto" w:fill="CFF0FC"/>
          </w:tcPr>
          <w:p>
            <w:pPr>
              <w:spacing w:after="0"/>
              <w:rPr>
                <w:sz w:val="2"/>
                <w:szCs w:val="2"/>
                <w:color w:val="auto"/>
              </w:rPr>
            </w:pPr>
          </w:p>
        </w:tc>
        <w:tc>
          <w:tcPr>
            <w:tcW w:w="1460" w:type="dxa"/>
            <w:vAlign w:val="bottom"/>
            <w:vMerge w:val="restart"/>
            <w:shd w:val="clear" w:color="auto" w:fill="CFF0FC"/>
          </w:tcPr>
          <w:p>
            <w:pPr>
              <w:ind w:left="20"/>
              <w:spacing w:after="0" w:line="148" w:lineRule="exact"/>
              <w:rPr>
                <w:sz w:val="20"/>
                <w:szCs w:val="20"/>
                <w:color w:val="auto"/>
              </w:rPr>
            </w:pPr>
            <w:r>
              <w:rPr>
                <w:rFonts w:ascii="Arial" w:cs="Arial" w:eastAsia="Arial" w:hAnsi="Arial"/>
                <w:sz w:val="13"/>
                <w:szCs w:val="13"/>
                <w:color w:val="auto"/>
              </w:rPr>
              <w:t>7/15/2021</w:t>
            </w:r>
            <w:r>
              <w:rPr>
                <w:rFonts w:ascii="Arial" w:cs="Arial" w:eastAsia="Arial" w:hAnsi="Arial"/>
                <w:sz w:val="16"/>
                <w:szCs w:val="16"/>
                <w:color w:val="auto"/>
                <w:vertAlign w:val="superscript"/>
              </w:rPr>
              <w:t>(1)</w:t>
            </w:r>
          </w:p>
        </w:tc>
        <w:tc>
          <w:tcPr>
            <w:tcW w:w="40" w:type="dxa"/>
            <w:vAlign w:val="bottom"/>
            <w:shd w:val="clear" w:color="auto" w:fill="CFF0FC"/>
          </w:tcPr>
          <w:p>
            <w:pPr>
              <w:spacing w:after="0"/>
              <w:rPr>
                <w:sz w:val="2"/>
                <w:szCs w:val="2"/>
                <w:color w:val="auto"/>
              </w:rPr>
            </w:pPr>
          </w:p>
        </w:tc>
        <w:tc>
          <w:tcPr>
            <w:tcW w:w="1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120" w:type="dxa"/>
            <w:vAlign w:val="bottom"/>
            <w:tcBorders>
              <w:left w:val="single" w:sz="8" w:color="auto"/>
            </w:tcBorders>
            <w:shd w:val="clear" w:color="auto" w:fill="CFF0FC"/>
          </w:tcPr>
          <w:p>
            <w:pPr>
              <w:spacing w:after="0"/>
              <w:rPr>
                <w:sz w:val="10"/>
                <w:szCs w:val="10"/>
                <w:color w:val="auto"/>
              </w:rPr>
            </w:pPr>
          </w:p>
        </w:tc>
        <w:tc>
          <w:tcPr>
            <w:tcW w:w="1460" w:type="dxa"/>
            <w:vAlign w:val="bottom"/>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20" w:type="dxa"/>
            <w:vAlign w:val="bottom"/>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20" w:type="dxa"/>
            <w:vAlign w:val="bottom"/>
            <w:tcBorders>
              <w:left w:val="single" w:sz="8" w:color="auto"/>
            </w:tcBorders>
            <w:shd w:val="clear" w:color="auto" w:fill="CFF0FC"/>
          </w:tcPr>
          <w:p>
            <w:pPr>
              <w:spacing w:after="0"/>
              <w:rPr>
                <w:sz w:val="15"/>
                <w:szCs w:val="15"/>
                <w:color w:val="auto"/>
              </w:rPr>
            </w:pPr>
          </w:p>
        </w:tc>
        <w:tc>
          <w:tcPr>
            <w:tcW w:w="1460" w:type="dxa"/>
            <w:vAlign w:val="bottom"/>
            <w:shd w:val="clear" w:color="auto" w:fill="CFF0FC"/>
          </w:tcPr>
          <w:p>
            <w:pPr>
              <w:ind w:left="20"/>
              <w:spacing w:after="0" w:line="176" w:lineRule="exact"/>
              <w:rPr>
                <w:sz w:val="20"/>
                <w:szCs w:val="20"/>
                <w:color w:val="auto"/>
              </w:rPr>
            </w:pPr>
            <w:r>
              <w:rPr>
                <w:rFonts w:ascii="Arial" w:cs="Arial" w:eastAsia="Arial" w:hAnsi="Arial"/>
                <w:sz w:val="13"/>
                <w:szCs w:val="13"/>
                <w:color w:val="auto"/>
              </w:rPr>
              <w:t>10/18/2021</w:t>
            </w:r>
            <w:r>
              <w:rPr>
                <w:rFonts w:ascii="Arial" w:cs="Arial" w:eastAsia="Arial" w:hAnsi="Arial"/>
                <w:sz w:val="16"/>
                <w:szCs w:val="16"/>
                <w:color w:val="auto"/>
                <w:vertAlign w:val="superscript"/>
              </w:rPr>
              <w:t>(2)</w:t>
            </w:r>
          </w:p>
        </w:tc>
        <w:tc>
          <w:tcPr>
            <w:tcW w:w="4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61,875</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20" w:type="dxa"/>
            <w:vAlign w:val="bottom"/>
            <w:tcBorders>
              <w:left w:val="single" w:sz="8" w:color="auto"/>
            </w:tcBorders>
          </w:tcPr>
          <w:p>
            <w:pPr>
              <w:ind w:left="40"/>
              <w:spacing w:after="0" w:line="121" w:lineRule="exact"/>
              <w:rPr>
                <w:sz w:val="20"/>
                <w:szCs w:val="20"/>
                <w:color w:val="auto"/>
              </w:rPr>
            </w:pPr>
            <w:r>
              <w:rPr>
                <w:rFonts w:ascii="Arial" w:cs="Arial" w:eastAsia="Arial" w:hAnsi="Arial"/>
                <w:sz w:val="13"/>
                <w:szCs w:val="13"/>
                <w:color w:val="auto"/>
              </w:rPr>
              <w:t>Roni Frank</w:t>
            </w:r>
          </w:p>
        </w:tc>
        <w:tc>
          <w:tcPr>
            <w:tcW w:w="1460" w:type="dxa"/>
            <w:vAlign w:val="bottom"/>
          </w:tcPr>
          <w:p>
            <w:pPr>
              <w:ind w:left="20"/>
              <w:spacing w:after="0" w:line="121" w:lineRule="exact"/>
              <w:rPr>
                <w:sz w:val="20"/>
                <w:szCs w:val="20"/>
                <w:color w:val="auto"/>
              </w:rPr>
            </w:pPr>
            <w:r>
              <w:rPr>
                <w:rFonts w:ascii="Arial" w:cs="Arial" w:eastAsia="Arial" w:hAnsi="Arial"/>
                <w:sz w:val="11"/>
                <w:szCs w:val="11"/>
                <w:color w:val="auto"/>
              </w:rPr>
              <w:t>1/15/2016</w:t>
            </w:r>
            <w:r>
              <w:rPr>
                <w:rFonts w:ascii="Arial" w:cs="Arial" w:eastAsia="Arial" w:hAnsi="Arial"/>
                <w:sz w:val="14"/>
                <w:szCs w:val="14"/>
                <w:color w:val="auto"/>
                <w:vertAlign w:val="superscript"/>
              </w:rPr>
              <w:t>(9)</w:t>
            </w:r>
          </w:p>
        </w:tc>
        <w:tc>
          <w:tcPr>
            <w:tcW w:w="40" w:type="dxa"/>
            <w:vAlign w:val="bottom"/>
          </w:tcPr>
          <w:p>
            <w:pPr>
              <w:spacing w:after="0"/>
              <w:rPr>
                <w:sz w:val="10"/>
                <w:szCs w:val="10"/>
                <w:color w:val="auto"/>
              </w:rPr>
            </w:pPr>
          </w:p>
        </w:tc>
        <w:tc>
          <w:tcPr>
            <w:tcW w:w="182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9/1/2016</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10/17/2017</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8/5/2019</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8/18/2020</w:t>
            </w:r>
            <w:r>
              <w:rPr>
                <w:rFonts w:ascii="Arial" w:cs="Arial" w:eastAsia="Arial" w:hAnsi="Arial"/>
                <w:sz w:val="16"/>
                <w:szCs w:val="16"/>
                <w:color w:val="auto"/>
                <w:vertAlign w:val="superscript"/>
              </w:rPr>
              <w:t>(9)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tcBorders>
          </w:tcPr>
          <w:p>
            <w:pPr>
              <w:spacing w:after="0"/>
              <w:rPr>
                <w:sz w:val="12"/>
                <w:szCs w:val="12"/>
                <w:color w:val="auto"/>
              </w:rPr>
            </w:pPr>
          </w:p>
        </w:tc>
        <w:tc>
          <w:tcPr>
            <w:tcW w:w="1460" w:type="dxa"/>
            <w:vAlign w:val="bottom"/>
          </w:tcPr>
          <w:p>
            <w:pPr>
              <w:ind w:left="20"/>
              <w:spacing w:after="0" w:line="148" w:lineRule="exact"/>
              <w:rPr>
                <w:sz w:val="20"/>
                <w:szCs w:val="20"/>
                <w:color w:val="auto"/>
              </w:rPr>
            </w:pPr>
            <w:r>
              <w:rPr>
                <w:rFonts w:ascii="Arial" w:cs="Arial" w:eastAsia="Arial" w:hAnsi="Arial"/>
                <w:sz w:val="13"/>
                <w:szCs w:val="13"/>
                <w:color w:val="auto"/>
              </w:rPr>
              <w:t>7/15/2021</w:t>
            </w:r>
            <w:r>
              <w:rPr>
                <w:rFonts w:ascii="Arial" w:cs="Arial" w:eastAsia="Arial" w:hAnsi="Arial"/>
                <w:sz w:val="16"/>
                <w:szCs w:val="16"/>
                <w:color w:val="auto"/>
                <w:vertAlign w:val="superscript"/>
              </w:rPr>
              <w:t>(1)</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20" w:type="dxa"/>
            <w:vAlign w:val="bottom"/>
            <w:tcBorders>
              <w:left w:val="single" w:sz="8" w:color="auto"/>
              <w:bottom w:val="single" w:sz="8" w:color="auto"/>
            </w:tcBorders>
          </w:tcPr>
          <w:p>
            <w:pPr>
              <w:spacing w:after="0"/>
              <w:rPr>
                <w:sz w:val="15"/>
                <w:szCs w:val="15"/>
                <w:color w:val="auto"/>
              </w:rPr>
            </w:pPr>
          </w:p>
        </w:tc>
        <w:tc>
          <w:tcPr>
            <w:tcW w:w="1460" w:type="dxa"/>
            <w:vAlign w:val="bottom"/>
            <w:tcBorders>
              <w:bottom w:val="single" w:sz="8" w:color="auto"/>
            </w:tcBorders>
          </w:tcPr>
          <w:p>
            <w:pPr>
              <w:ind w:left="20"/>
              <w:spacing w:after="0" w:line="176" w:lineRule="exact"/>
              <w:rPr>
                <w:sz w:val="20"/>
                <w:szCs w:val="20"/>
                <w:color w:val="auto"/>
              </w:rPr>
            </w:pPr>
            <w:r>
              <w:rPr>
                <w:rFonts w:ascii="Arial" w:cs="Arial" w:eastAsia="Arial" w:hAnsi="Arial"/>
                <w:sz w:val="13"/>
                <w:szCs w:val="13"/>
                <w:color w:val="auto"/>
              </w:rPr>
              <w:t>10/18/2021</w:t>
            </w:r>
            <w:r>
              <w:rPr>
                <w:rFonts w:ascii="Arial" w:cs="Arial" w:eastAsia="Arial" w:hAnsi="Arial"/>
                <w:sz w:val="16"/>
                <w:szCs w:val="16"/>
                <w:color w:val="auto"/>
                <w:vertAlign w:val="superscript"/>
              </w:rPr>
              <w:t>(2)</w:t>
            </w: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123,750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2040" w:type="dxa"/>
            <w:vAlign w:val="bottom"/>
            <w:tcBorders>
              <w:top w:val="single" w:sz="8" w:color="auto"/>
            </w:tcBorders>
            <w:shd w:val="clear" w:color="auto" w:fill="CFF0FC"/>
          </w:tcPr>
          <w:p>
            <w:pPr>
              <w:ind w:left="60"/>
              <w:spacing w:after="0" w:line="122" w:lineRule="exact"/>
              <w:rPr>
                <w:sz w:val="20"/>
                <w:szCs w:val="20"/>
                <w:color w:val="auto"/>
              </w:rPr>
            </w:pPr>
            <w:r>
              <w:rPr>
                <w:rFonts w:ascii="Arial" w:cs="Arial" w:eastAsia="Arial" w:hAnsi="Arial"/>
                <w:sz w:val="13"/>
                <w:szCs w:val="13"/>
                <w:b w:val="1"/>
                <w:bCs w:val="1"/>
                <w:color w:val="auto"/>
                <w:w w:val="94"/>
              </w:rPr>
              <w:t>All Other Option Awards: Number</w:t>
            </w:r>
          </w:p>
        </w:tc>
        <w:tc>
          <w:tcPr>
            <w:tcW w:w="60" w:type="dxa"/>
            <w:vAlign w:val="bottom"/>
            <w:tcBorders>
              <w:top w:val="single" w:sz="8" w:color="CFF0FC"/>
            </w:tcBorders>
            <w:shd w:val="clear" w:color="auto" w:fill="CFF0FC"/>
          </w:tcPr>
          <w:p>
            <w:pPr>
              <w:spacing w:after="0"/>
              <w:rPr>
                <w:sz w:val="10"/>
                <w:szCs w:val="10"/>
                <w:color w:val="auto"/>
              </w:rPr>
            </w:pPr>
          </w:p>
        </w:tc>
        <w:tc>
          <w:tcPr>
            <w:tcW w:w="1620" w:type="dxa"/>
            <w:vAlign w:val="bottom"/>
            <w:tcBorders>
              <w:top w:val="single" w:sz="8" w:color="auto"/>
            </w:tcBorders>
            <w:shd w:val="clear" w:color="auto" w:fill="CFF0FC"/>
          </w:tcPr>
          <w:p>
            <w:pPr>
              <w:jc w:val="center"/>
              <w:spacing w:after="0" w:line="122" w:lineRule="exact"/>
              <w:rPr>
                <w:sz w:val="20"/>
                <w:szCs w:val="20"/>
                <w:color w:val="auto"/>
              </w:rPr>
            </w:pPr>
            <w:r>
              <w:rPr>
                <w:rFonts w:ascii="Arial" w:cs="Arial" w:eastAsia="Arial" w:hAnsi="Arial"/>
                <w:sz w:val="13"/>
                <w:szCs w:val="13"/>
                <w:b w:val="1"/>
                <w:bCs w:val="1"/>
                <w:color w:val="auto"/>
                <w:w w:val="85"/>
              </w:rPr>
              <w:t>Exercise or Base Price of</w:t>
            </w:r>
          </w:p>
        </w:tc>
        <w:tc>
          <w:tcPr>
            <w:tcW w:w="40" w:type="dxa"/>
            <w:vAlign w:val="bottom"/>
            <w:tcBorders>
              <w:top w:val="single" w:sz="8" w:color="CFF0FC"/>
            </w:tcBorders>
            <w:shd w:val="clear" w:color="auto" w:fill="CFF0FC"/>
          </w:tcPr>
          <w:p>
            <w:pPr>
              <w:spacing w:after="0"/>
              <w:rPr>
                <w:sz w:val="10"/>
                <w:szCs w:val="10"/>
                <w:color w:val="auto"/>
              </w:rPr>
            </w:pPr>
          </w:p>
        </w:tc>
        <w:tc>
          <w:tcPr>
            <w:tcW w:w="1640" w:type="dxa"/>
            <w:vAlign w:val="bottom"/>
            <w:tcBorders>
              <w:top w:val="single" w:sz="8" w:color="auto"/>
              <w:right w:val="single" w:sz="8" w:color="CFF0FC"/>
            </w:tcBorders>
            <w:shd w:val="clear" w:color="auto" w:fill="CFF0FC"/>
          </w:tcPr>
          <w:p>
            <w:pPr>
              <w:jc w:val="right"/>
              <w:ind w:right="117"/>
              <w:spacing w:after="0" w:line="122" w:lineRule="exact"/>
              <w:rPr>
                <w:sz w:val="20"/>
                <w:szCs w:val="20"/>
                <w:color w:val="auto"/>
              </w:rPr>
            </w:pPr>
            <w:r>
              <w:rPr>
                <w:rFonts w:ascii="Arial" w:cs="Arial" w:eastAsia="Arial" w:hAnsi="Arial"/>
                <w:sz w:val="13"/>
                <w:szCs w:val="13"/>
                <w:b w:val="1"/>
                <w:bCs w:val="1"/>
                <w:color w:val="auto"/>
                <w:w w:val="97"/>
              </w:rPr>
              <w:t>Grant Date Fair Value of</w:t>
            </w:r>
          </w:p>
        </w:tc>
        <w:tc>
          <w:tcPr>
            <w:tcW w:w="3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FF0FC"/>
          </w:tcPr>
          <w:p>
            <w:pPr>
              <w:ind w:left="60"/>
              <w:spacing w:after="0"/>
              <w:rPr>
                <w:sz w:val="20"/>
                <w:szCs w:val="20"/>
                <w:color w:val="auto"/>
              </w:rPr>
            </w:pPr>
            <w:r>
              <w:rPr>
                <w:rFonts w:ascii="Arial" w:cs="Arial" w:eastAsia="Arial" w:hAnsi="Arial"/>
                <w:sz w:val="13"/>
                <w:szCs w:val="13"/>
                <w:b w:val="1"/>
                <w:bCs w:val="1"/>
                <w:color w:val="auto"/>
                <w:w w:val="91"/>
              </w:rPr>
              <w:t>of Securities Underlying Options (#)</w:t>
            </w:r>
          </w:p>
        </w:tc>
        <w:tc>
          <w:tcPr>
            <w:tcW w:w="1660" w:type="dxa"/>
            <w:vAlign w:val="bottom"/>
            <w:gridSpan w:val="2"/>
            <w:shd w:val="clear" w:color="auto" w:fill="CFF0FC"/>
          </w:tcPr>
          <w:p>
            <w:pPr>
              <w:jc w:val="center"/>
              <w:ind w:right="40"/>
              <w:spacing w:after="0"/>
              <w:rPr>
                <w:sz w:val="20"/>
                <w:szCs w:val="20"/>
                <w:color w:val="auto"/>
              </w:rPr>
            </w:pPr>
            <w:r>
              <w:rPr>
                <w:rFonts w:ascii="Arial" w:cs="Arial" w:eastAsia="Arial" w:hAnsi="Arial"/>
                <w:sz w:val="13"/>
                <w:szCs w:val="13"/>
                <w:b w:val="1"/>
                <w:bCs w:val="1"/>
                <w:color w:val="auto"/>
                <w:w w:val="89"/>
              </w:rPr>
              <w:t>Option Awards ($/Sh)</w:t>
            </w:r>
          </w:p>
        </w:tc>
        <w:tc>
          <w:tcPr>
            <w:tcW w:w="1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7"/>
              </w:rPr>
              <w:t xml:space="preserve">Stock and Option Awards </w:t>
            </w:r>
            <w:r>
              <w:rPr>
                <w:rFonts w:ascii="Arial" w:cs="Arial" w:eastAsia="Arial" w:hAnsi="Arial"/>
                <w:sz w:val="13"/>
                <w:szCs w:val="13"/>
                <w:b w:val="1"/>
                <w:bCs w:val="1"/>
                <w:u w:val="single" w:color="auto"/>
                <w:color w:val="auto"/>
                <w:w w:val="87"/>
              </w:rPr>
              <w:t>($</w:t>
            </w:r>
            <w:r>
              <w:rPr>
                <w:rFonts w:ascii="Arial" w:cs="Arial" w:eastAsia="Arial" w:hAnsi="Arial"/>
                <w:sz w:val="13"/>
                <w:szCs w:val="13"/>
                <w:b w:val="1"/>
                <w:bCs w:val="1"/>
                <w:color w:val="auto"/>
                <w:w w:val="87"/>
              </w:rPr>
              <w:t>)</w:t>
            </w:r>
          </w:p>
        </w:tc>
        <w:tc>
          <w:tcPr>
            <w:tcW w:w="36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02"/>
        </w:trPr>
        <w:tc>
          <w:tcPr>
            <w:tcW w:w="20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color w:val="auto"/>
              </w:rPr>
              <w:t>74,323</w:t>
            </w:r>
          </w:p>
        </w:tc>
        <w:tc>
          <w:tcPr>
            <w:tcW w:w="60" w:type="dxa"/>
            <w:vAlign w:val="bottom"/>
            <w:tcBorders>
              <w:top w:val="single" w:sz="8" w:color="CFF0FC"/>
            </w:tcBorders>
          </w:tcPr>
          <w:p>
            <w:pPr>
              <w:spacing w:after="0"/>
              <w:rPr>
                <w:sz w:val="8"/>
                <w:szCs w:val="8"/>
                <w:color w:val="auto"/>
              </w:rPr>
            </w:pPr>
          </w:p>
        </w:tc>
        <w:tc>
          <w:tcPr>
            <w:tcW w:w="16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color w:val="auto"/>
              </w:rPr>
              <w:t>0.23</w:t>
            </w:r>
          </w:p>
        </w:tc>
        <w:tc>
          <w:tcPr>
            <w:tcW w:w="40" w:type="dxa"/>
            <w:vAlign w:val="bottom"/>
            <w:tcBorders>
              <w:top w:val="single" w:sz="8" w:color="CFF0FC"/>
            </w:tcBorders>
          </w:tcPr>
          <w:p>
            <w:pPr>
              <w:spacing w:after="0"/>
              <w:rPr>
                <w:sz w:val="8"/>
                <w:szCs w:val="8"/>
                <w:color w:val="auto"/>
              </w:rPr>
            </w:pPr>
          </w:p>
        </w:tc>
        <w:tc>
          <w:tcPr>
            <w:tcW w:w="16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color w:val="auto"/>
              </w:rPr>
              <w:t>627,364</w:t>
            </w:r>
          </w:p>
        </w:tc>
        <w:tc>
          <w:tcPr>
            <w:tcW w:w="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67,630</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0.39</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574,160</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98,658</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0.51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831,857</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76,499</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636,693</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26,827</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1.22</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223,192</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1,732,500</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5.81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5,927,428</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9"/>
        </w:trPr>
        <w:tc>
          <w:tcPr>
            <w:tcW w:w="2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1,550,588</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492,600</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5.81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1,690,570</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443,025</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76,500</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636,780</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204,663</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1,703,598</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9"/>
        </w:trPr>
        <w:tc>
          <w:tcPr>
            <w:tcW w:w="2040" w:type="dxa"/>
            <w:vAlign w:val="bottom"/>
          </w:tcPr>
          <w:p>
            <w:pPr>
              <w:jc w:val="right"/>
              <w:spacing w:after="0"/>
              <w:rPr>
                <w:sz w:val="20"/>
                <w:szCs w:val="20"/>
                <w:color w:val="auto"/>
              </w:rPr>
            </w:pPr>
            <w:r>
              <w:rPr>
                <w:rFonts w:ascii="Arial" w:cs="Arial" w:eastAsia="Arial" w:hAnsi="Arial"/>
                <w:sz w:val="13"/>
                <w:szCs w:val="13"/>
                <w:color w:val="auto"/>
              </w:rPr>
              <w:t>990,000</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5.81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3,387,102</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886,050</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518,704</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7.24</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3,639,468</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(8)</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495,000</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5.81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1,693,551</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443,025</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77,705</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0.10</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508,364</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9"/>
        </w:trPr>
        <w:tc>
          <w:tcPr>
            <w:tcW w:w="2040" w:type="dxa"/>
            <w:vAlign w:val="bottom"/>
          </w:tcPr>
          <w:p>
            <w:pPr>
              <w:jc w:val="right"/>
              <w:spacing w:after="0"/>
              <w:rPr>
                <w:sz w:val="20"/>
                <w:szCs w:val="20"/>
                <w:color w:val="auto"/>
              </w:rPr>
            </w:pPr>
            <w:r>
              <w:rPr>
                <w:rFonts w:ascii="Arial" w:cs="Arial" w:eastAsia="Arial" w:hAnsi="Arial"/>
                <w:sz w:val="13"/>
                <w:szCs w:val="13"/>
                <w:color w:val="auto"/>
              </w:rPr>
              <w:t>29,934</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0.39</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254,131</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61,948</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0.51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522,329</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38,249</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318,343</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13,413</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1.22</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111,592</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9"/>
        </w:trPr>
        <w:tc>
          <w:tcPr>
            <w:tcW w:w="2040" w:type="dxa"/>
            <w:vAlign w:val="bottom"/>
          </w:tcPr>
          <w:p>
            <w:pPr>
              <w:jc w:val="right"/>
              <w:spacing w:after="0"/>
              <w:rPr>
                <w:sz w:val="20"/>
                <w:szCs w:val="20"/>
                <w:color w:val="auto"/>
              </w:rPr>
            </w:pPr>
            <w:r>
              <w:rPr>
                <w:rFonts w:ascii="Arial" w:cs="Arial" w:eastAsia="Arial" w:hAnsi="Arial"/>
                <w:sz w:val="13"/>
                <w:szCs w:val="13"/>
                <w:color w:val="auto"/>
              </w:rPr>
              <w:t>495,000</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5.81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1,693,551</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443,025</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9"/>
        </w:trPr>
        <w:tc>
          <w:tcPr>
            <w:tcW w:w="2040" w:type="dxa"/>
            <w:vAlign w:val="bottom"/>
          </w:tcPr>
          <w:p>
            <w:pPr>
              <w:jc w:val="right"/>
              <w:spacing w:after="0"/>
              <w:rPr>
                <w:sz w:val="20"/>
                <w:szCs w:val="20"/>
                <w:color w:val="auto"/>
              </w:rPr>
            </w:pPr>
            <w:r>
              <w:rPr>
                <w:rFonts w:ascii="Arial" w:cs="Arial" w:eastAsia="Arial" w:hAnsi="Arial"/>
                <w:sz w:val="13"/>
                <w:szCs w:val="13"/>
                <w:color w:val="auto"/>
              </w:rPr>
              <w:t>8,018</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0.39</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68,048</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7,649</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63,662</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6,706</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1.22</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55,793</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9"/>
        </w:trPr>
        <w:tc>
          <w:tcPr>
            <w:tcW w:w="2040" w:type="dxa"/>
            <w:vAlign w:val="bottom"/>
          </w:tcPr>
          <w:p>
            <w:pPr>
              <w:jc w:val="right"/>
              <w:spacing w:after="0"/>
              <w:rPr>
                <w:sz w:val="20"/>
                <w:szCs w:val="20"/>
                <w:color w:val="auto"/>
              </w:rPr>
            </w:pPr>
            <w:r>
              <w:rPr>
                <w:rFonts w:ascii="Arial" w:cs="Arial" w:eastAsia="Arial" w:hAnsi="Arial"/>
                <w:sz w:val="13"/>
                <w:szCs w:val="13"/>
                <w:color w:val="auto"/>
              </w:rPr>
              <w:t>247,500</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5.81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846,775</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221,513</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74,323</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0.23</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627,363</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9"/>
        </w:trPr>
        <w:tc>
          <w:tcPr>
            <w:tcW w:w="2040" w:type="dxa"/>
            <w:vAlign w:val="bottom"/>
          </w:tcPr>
          <w:p>
            <w:pPr>
              <w:jc w:val="right"/>
              <w:spacing w:after="0"/>
              <w:rPr>
                <w:sz w:val="20"/>
                <w:szCs w:val="20"/>
                <w:color w:val="auto"/>
              </w:rPr>
            </w:pPr>
            <w:r>
              <w:rPr>
                <w:rFonts w:ascii="Arial" w:cs="Arial" w:eastAsia="Arial" w:hAnsi="Arial"/>
                <w:sz w:val="13"/>
                <w:szCs w:val="13"/>
                <w:color w:val="auto"/>
              </w:rPr>
              <w:t>67,630</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0.39</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574,160</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98,658</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0.51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831,857</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9"/>
        </w:trPr>
        <w:tc>
          <w:tcPr>
            <w:tcW w:w="2040" w:type="dxa"/>
            <w:vAlign w:val="bottom"/>
          </w:tcPr>
          <w:p>
            <w:pPr>
              <w:jc w:val="right"/>
              <w:spacing w:after="0"/>
              <w:rPr>
                <w:sz w:val="20"/>
                <w:szCs w:val="20"/>
                <w:color w:val="auto"/>
              </w:rPr>
            </w:pPr>
            <w:r>
              <w:rPr>
                <w:rFonts w:ascii="Arial" w:cs="Arial" w:eastAsia="Arial" w:hAnsi="Arial"/>
                <w:sz w:val="13"/>
                <w:szCs w:val="13"/>
                <w:color w:val="auto"/>
              </w:rPr>
              <w:t>76,499</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636,693</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26,827</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1.22</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223,193</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48"/>
        </w:trPr>
        <w:tc>
          <w:tcPr>
            <w:tcW w:w="2040" w:type="dxa"/>
            <w:vAlign w:val="bottom"/>
          </w:tcPr>
          <w:p>
            <w:pPr>
              <w:jc w:val="right"/>
              <w:spacing w:after="0"/>
              <w:rPr>
                <w:sz w:val="20"/>
                <w:szCs w:val="20"/>
                <w:color w:val="auto"/>
              </w:rPr>
            </w:pPr>
            <w:r>
              <w:rPr>
                <w:rFonts w:ascii="Arial" w:cs="Arial" w:eastAsia="Arial" w:hAnsi="Arial"/>
                <w:sz w:val="13"/>
                <w:szCs w:val="13"/>
                <w:color w:val="auto"/>
              </w:rPr>
              <w:t>495,000</w:t>
            </w: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5.81</w:t>
            </w:r>
          </w:p>
        </w:tc>
        <w:tc>
          <w:tcPr>
            <w:tcW w:w="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1,693,551</w:t>
            </w:r>
          </w:p>
        </w:tc>
        <w:tc>
          <w:tcPr>
            <w:tcW w:w="360" w:type="dxa"/>
            <w:vAlign w:val="bottom"/>
            <w:tcBorders>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443,025</w:t>
            </w:r>
          </w:p>
        </w:tc>
        <w:tc>
          <w:tcPr>
            <w:tcW w:w="36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-2647950</wp:posOffset>
            </wp:positionV>
            <wp:extent cx="7132320" cy="188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-2082165</wp:posOffset>
            </wp:positionV>
            <wp:extent cx="7132320" cy="2832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-1139190</wp:posOffset>
            </wp:positionV>
            <wp:extent cx="7132320" cy="4718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5480" w:space="0"/>
            <w:col w:w="5760"/>
          </w:cols>
          <w:pgMar w:left="320" w:top="125" w:right="339" w:bottom="1440" w:gutter="0" w:footer="0" w:header="0"/>
          <w:type w:val="continuous"/>
        </w:sectPr>
      </w:pPr>
    </w:p>
    <w:p>
      <w:pPr>
        <w:ind w:firstLine="8"/>
        <w:spacing w:after="0" w:line="273" w:lineRule="auto"/>
        <w:tabs>
          <w:tab w:leader="none" w:pos="21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stock options, which were granted under the 2021 Plan, vest and become exercisable in sixteen equal installments on each of the first sixteen quarterly anniversaries of July 1, 2021, subject to the NEO’s continued employment through each such vesting date.</w:t>
      </w:r>
    </w:p>
    <w:p>
      <w:pPr>
        <w:spacing w:after="0" w:line="11" w:lineRule="exact"/>
        <w:rPr>
          <w:rFonts w:ascii="Arial" w:cs="Arial" w:eastAsia="Arial" w:hAnsi="Arial"/>
          <w:sz w:val="14"/>
          <w:szCs w:val="14"/>
          <w:color w:val="auto"/>
        </w:rPr>
      </w:pPr>
    </w:p>
    <w:p>
      <w:pPr>
        <w:ind w:right="20" w:firstLine="8"/>
        <w:spacing w:after="0" w:line="273" w:lineRule="auto"/>
        <w:tabs>
          <w:tab w:leader="none" w:pos="2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RSU awards, which were granted under the 2021 Plan, vest in sixteen equal installments on each of the first sixteen quarterly anniversaries of September 1, 2021, subject to the NEO’s continued employment through each such vesting date.</w:t>
      </w:r>
    </w:p>
    <w:p>
      <w:pPr>
        <w:spacing w:after="0" w:line="11" w:lineRule="exact"/>
        <w:rPr>
          <w:rFonts w:ascii="Arial" w:cs="Arial" w:eastAsia="Arial" w:hAnsi="Arial"/>
          <w:sz w:val="14"/>
          <w:szCs w:val="14"/>
          <w:color w:val="auto"/>
        </w:rPr>
      </w:pPr>
    </w:p>
    <w:p>
      <w:pPr>
        <w:ind w:firstLine="8"/>
        <w:spacing w:after="0" w:line="273" w:lineRule="auto"/>
        <w:tabs>
          <w:tab w:leader="none" w:pos="20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This stock option, which was granted under the 2021 Plan, vests and becomes exercisable 25% on the one-year anniversary of July 26, 2021 and 75% in twelve equal installments on each of the first twelve quarterly anniversaries of July 26, 2021 thereafter, subject to the NEO’s continued employment through each such vesting date.</w:t>
      </w:r>
    </w:p>
    <w:p>
      <w:pPr>
        <w:spacing w:after="0" w:line="11" w:lineRule="exact"/>
        <w:rPr>
          <w:rFonts w:ascii="Arial" w:cs="Arial" w:eastAsia="Arial" w:hAnsi="Arial"/>
          <w:sz w:val="14"/>
          <w:szCs w:val="14"/>
          <w:color w:val="auto"/>
        </w:rPr>
      </w:pPr>
    </w:p>
    <w:p>
      <w:pPr>
        <w:ind w:firstLine="8"/>
        <w:spacing w:after="0" w:line="273" w:lineRule="auto"/>
        <w:tabs>
          <w:tab w:leader="none" w:pos="21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This RSU award, which was granted under the 2021 Plan, vests 25% on the one-year anniversary of September 1, 2021 and 75% in twelve equal installments on each of the first twelve quarterly anniversaries of September 1, 2021 thereafter, subject to the NEO’s continued employment through each such vesting date.</w:t>
      </w:r>
    </w:p>
    <w:p>
      <w:pPr>
        <w:spacing w:after="0" w:line="11" w:lineRule="exact"/>
        <w:rPr>
          <w:rFonts w:ascii="Arial" w:cs="Arial" w:eastAsia="Arial" w:hAnsi="Arial"/>
          <w:sz w:val="14"/>
          <w:szCs w:val="14"/>
          <w:color w:val="auto"/>
        </w:rPr>
      </w:pPr>
    </w:p>
    <w:p>
      <w:pPr>
        <w:ind w:firstLine="8"/>
        <w:spacing w:after="0" w:line="273" w:lineRule="auto"/>
        <w:tabs>
          <w:tab w:leader="none" w:pos="206"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This stock option, which was granted under the 2014 Plan, vest over a four-year period with respect to 1/48th of the shares underlying the option on each monthly anniversary of December 4, 2020 thereafter, subject to the NEO’s continued employment through each such vesting date.</w:t>
      </w:r>
    </w:p>
    <w:p>
      <w:pPr>
        <w:spacing w:after="0" w:line="11" w:lineRule="exact"/>
        <w:rPr>
          <w:rFonts w:ascii="Arial" w:cs="Arial" w:eastAsia="Arial" w:hAnsi="Arial"/>
          <w:sz w:val="14"/>
          <w:szCs w:val="14"/>
          <w:color w:val="auto"/>
        </w:rPr>
      </w:pPr>
    </w:p>
    <w:p>
      <w:pPr>
        <w:ind w:firstLine="8"/>
        <w:spacing w:after="0" w:line="256" w:lineRule="auto"/>
        <w:tabs>
          <w:tab w:leader="none" w:pos="2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Amounts reflect the grant-date fair value in accordance with ASC Topic 718. We provide information regarding the assumptions used to calculate these values in Note 13 to the consolidated financial statements included in this Annual Report.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5"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Amounts reflect the incremental fair value (determined in accordance with ASC Topic 718) associated with the modification of stock options in connection with the Business Combination.</w:t>
      </w:r>
    </w:p>
    <w:p>
      <w:pPr>
        <w:spacing w:after="0" w:line="66" w:lineRule="exact"/>
        <w:rPr>
          <w:rFonts w:ascii="Arial" w:cs="Arial" w:eastAsia="Arial" w:hAnsi="Arial"/>
          <w:sz w:val="13"/>
          <w:szCs w:val="13"/>
          <w:color w:val="auto"/>
        </w:rPr>
      </w:pPr>
    </w:p>
    <w:p>
      <w:pPr>
        <w:ind w:right="20" w:firstLine="8"/>
        <w:spacing w:after="0" w:line="273" w:lineRule="auto"/>
        <w:tabs>
          <w:tab w:leader="none" w:pos="208"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reflects (i) $3,198,956 in the original grant date fair value of this stock option and (ii) $440,512 in incremental fair value (determined in accordance with ASC Topic 718) associated with the modification of the stock option in connection with the Business Combination.</w:t>
      </w:r>
    </w:p>
    <w:p>
      <w:pPr>
        <w:spacing w:after="0" w:line="11" w:lineRule="exact"/>
        <w:rPr>
          <w:rFonts w:ascii="Arial" w:cs="Arial" w:eastAsia="Arial" w:hAnsi="Arial"/>
          <w:sz w:val="14"/>
          <w:szCs w:val="14"/>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These stock options, each of which were granted prior to 2021 under the 2014 Plan, were each modified in connection with the Business Combination.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SUMMARY COMPENSATION TABLE AND GRANTS OF PLAN-BASED AWARDS TABLE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Executive Compensation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 Employment Agreements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entered into employment offer letters (collectively, the “</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xml:space="preserve">”) with each of our NEOs other than Douglas L. Braunstein (whose service as a member of our Board is further described below under </w:t>
      </w:r>
      <w:r>
        <w:rPr>
          <w:rFonts w:ascii="Arial" w:cs="Arial" w:eastAsia="Arial" w:hAnsi="Arial"/>
          <w:sz w:val="18"/>
          <w:szCs w:val="18"/>
          <w:i w:val="1"/>
          <w:iCs w:val="1"/>
          <w:color w:val="auto"/>
        </w:rPr>
        <w:t>“2021 Director Compensation”</w:t>
      </w:r>
      <w:r>
        <w:rPr>
          <w:rFonts w:ascii="Arial" w:cs="Arial" w:eastAsia="Arial" w:hAnsi="Arial"/>
          <w:sz w:val="18"/>
          <w:szCs w:val="18"/>
          <w:color w:val="auto"/>
        </w:rPr>
        <w:t>). The material terms of the Employment Agreements are described below.</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Employment Agreements provide for at-will employment without a specified term, provide for participation in the health and welfare benefit plans and programs maintained by us for the benefit of our employees, and provide for annual base salaries and annual target bonus percentages as provided in the table below (some of which have been increased).</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180" w:type="dxa"/>
            <w:vAlign w:val="bottom"/>
            <w:tcBorders>
              <w:top w:val="single" w:sz="8" w:color="auto"/>
              <w:left w:val="single" w:sz="8" w:color="auto"/>
              <w:bottom w:val="single" w:sz="8" w:color="auto"/>
            </w:tcBorders>
            <w:shd w:val="clear" w:color="auto" w:fill="D1F6FF"/>
          </w:tcPr>
          <w:p>
            <w:pPr>
              <w:ind w:left="1380"/>
              <w:spacing w:after="0"/>
              <w:rPr>
                <w:sz w:val="20"/>
                <w:szCs w:val="20"/>
                <w:color w:val="auto"/>
              </w:rPr>
            </w:pPr>
            <w:r>
              <w:rPr>
                <w:rFonts w:ascii="Arial" w:cs="Arial" w:eastAsia="Arial" w:hAnsi="Arial"/>
                <w:sz w:val="16"/>
                <w:szCs w:val="16"/>
                <w:b w:val="1"/>
                <w:bCs w:val="1"/>
                <w:color w:val="auto"/>
              </w:rPr>
              <w:t>Named Executive Officer</w:t>
            </w:r>
          </w:p>
        </w:tc>
        <w:tc>
          <w:tcPr>
            <w:tcW w:w="2920" w:type="dxa"/>
            <w:vAlign w:val="bottom"/>
            <w:tcBorders>
              <w:top w:val="single" w:sz="8" w:color="auto"/>
              <w:bottom w:val="single" w:sz="8" w:color="auto"/>
            </w:tcBorders>
            <w:shd w:val="clear" w:color="auto" w:fill="D1F6FF"/>
          </w:tcPr>
          <w:p>
            <w:pPr>
              <w:jc w:val="center"/>
              <w:spacing w:after="0"/>
              <w:rPr>
                <w:sz w:val="20"/>
                <w:szCs w:val="20"/>
                <w:color w:val="auto"/>
              </w:rPr>
            </w:pPr>
            <w:r>
              <w:rPr>
                <w:rFonts w:ascii="Arial" w:cs="Arial" w:eastAsia="Arial" w:hAnsi="Arial"/>
                <w:sz w:val="16"/>
                <w:szCs w:val="16"/>
                <w:b w:val="1"/>
                <w:bCs w:val="1"/>
                <w:color w:val="auto"/>
                <w:w w:val="90"/>
              </w:rPr>
              <w:t>Base Salary</w:t>
            </w:r>
          </w:p>
        </w:tc>
        <w:tc>
          <w:tcPr>
            <w:tcW w:w="4140" w:type="dxa"/>
            <w:vAlign w:val="bottom"/>
            <w:tcBorders>
              <w:top w:val="single" w:sz="8" w:color="auto"/>
              <w:bottom w:val="single" w:sz="8" w:color="auto"/>
              <w:right w:val="single" w:sz="8" w:color="auto"/>
            </w:tcBorders>
            <w:shd w:val="clear" w:color="auto" w:fill="D1F6FF"/>
          </w:tcPr>
          <w:p>
            <w:pPr>
              <w:ind w:left="1060"/>
              <w:spacing w:after="0"/>
              <w:rPr>
                <w:sz w:val="20"/>
                <w:szCs w:val="20"/>
                <w:color w:val="auto"/>
              </w:rPr>
            </w:pPr>
            <w:r>
              <w:rPr>
                <w:rFonts w:ascii="Arial" w:cs="Arial" w:eastAsia="Arial" w:hAnsi="Arial"/>
                <w:sz w:val="16"/>
                <w:szCs w:val="16"/>
                <w:b w:val="1"/>
                <w:bCs w:val="1"/>
                <w:color w:val="auto"/>
              </w:rPr>
              <w:t>Target Bonus Percentage</w:t>
            </w:r>
          </w:p>
        </w:tc>
      </w:tr>
      <w:tr>
        <w:trPr>
          <w:trHeight w:val="182"/>
        </w:trPr>
        <w:tc>
          <w:tcPr>
            <w:tcW w:w="4180" w:type="dxa"/>
            <w:vAlign w:val="bottom"/>
            <w:tcBorders>
              <w:left w:val="single" w:sz="8" w:color="auto"/>
            </w:tcBorders>
          </w:tcPr>
          <w:p>
            <w:pPr>
              <w:ind w:left="120"/>
              <w:spacing w:after="0" w:line="182" w:lineRule="exact"/>
              <w:rPr>
                <w:sz w:val="20"/>
                <w:szCs w:val="20"/>
                <w:color w:val="auto"/>
              </w:rPr>
            </w:pPr>
            <w:r>
              <w:rPr>
                <w:rFonts w:ascii="Arial" w:cs="Arial" w:eastAsia="Arial" w:hAnsi="Arial"/>
                <w:sz w:val="18"/>
                <w:szCs w:val="18"/>
                <w:color w:val="auto"/>
              </w:rPr>
              <w:t>Oren Frank</w:t>
            </w:r>
          </w:p>
        </w:tc>
        <w:tc>
          <w:tcPr>
            <w:tcW w:w="2920" w:type="dxa"/>
            <w:vAlign w:val="bottom"/>
          </w:tcPr>
          <w:p>
            <w:pPr>
              <w:jc w:val="center"/>
              <w:spacing w:after="0" w:line="182" w:lineRule="exact"/>
              <w:rPr>
                <w:sz w:val="20"/>
                <w:szCs w:val="20"/>
                <w:color w:val="auto"/>
              </w:rPr>
            </w:pPr>
            <w:r>
              <w:rPr>
                <w:rFonts w:ascii="Arial" w:cs="Arial" w:eastAsia="Arial" w:hAnsi="Arial"/>
                <w:sz w:val="18"/>
                <w:szCs w:val="18"/>
                <w:color w:val="auto"/>
                <w:w w:val="90"/>
              </w:rPr>
              <w:t>$350,000</w:t>
            </w:r>
          </w:p>
        </w:tc>
        <w:tc>
          <w:tcPr>
            <w:tcW w:w="4140" w:type="dxa"/>
            <w:vAlign w:val="bottom"/>
            <w:tcBorders>
              <w:right w:val="single" w:sz="8" w:color="auto"/>
            </w:tcBorders>
          </w:tcPr>
          <w:p>
            <w:pPr>
              <w:jc w:val="center"/>
              <w:ind w:right="231"/>
              <w:spacing w:after="0" w:line="182" w:lineRule="exact"/>
              <w:rPr>
                <w:sz w:val="20"/>
                <w:szCs w:val="20"/>
                <w:color w:val="auto"/>
              </w:rPr>
            </w:pPr>
            <w:r>
              <w:rPr>
                <w:rFonts w:ascii="Arial" w:cs="Arial" w:eastAsia="Arial" w:hAnsi="Arial"/>
                <w:sz w:val="18"/>
                <w:szCs w:val="18"/>
                <w:color w:val="auto"/>
                <w:w w:val="91"/>
              </w:rPr>
              <w:t>100%</w:t>
            </w:r>
          </w:p>
        </w:tc>
      </w:tr>
      <w:tr>
        <w:trPr>
          <w:trHeight w:val="203"/>
        </w:trPr>
        <w:tc>
          <w:tcPr>
            <w:tcW w:w="418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color w:val="auto"/>
              </w:rPr>
              <w:t>Mark Hirschhorn</w:t>
            </w:r>
          </w:p>
        </w:tc>
        <w:tc>
          <w:tcPr>
            <w:tcW w:w="2920" w:type="dxa"/>
            <w:vAlign w:val="bottom"/>
          </w:tcPr>
          <w:p>
            <w:pPr>
              <w:jc w:val="center"/>
              <w:spacing w:after="0" w:line="202" w:lineRule="exact"/>
              <w:rPr>
                <w:sz w:val="20"/>
                <w:szCs w:val="20"/>
                <w:color w:val="auto"/>
              </w:rPr>
            </w:pPr>
            <w:r>
              <w:rPr>
                <w:rFonts w:ascii="Arial" w:cs="Arial" w:eastAsia="Arial" w:hAnsi="Arial"/>
                <w:sz w:val="18"/>
                <w:szCs w:val="18"/>
                <w:color w:val="auto"/>
                <w:w w:val="90"/>
              </w:rPr>
              <w:t>$340,000</w:t>
            </w:r>
          </w:p>
        </w:tc>
        <w:tc>
          <w:tcPr>
            <w:tcW w:w="4140" w:type="dxa"/>
            <w:vAlign w:val="bottom"/>
            <w:tcBorders>
              <w:right w:val="single" w:sz="8" w:color="auto"/>
            </w:tcBorders>
          </w:tcPr>
          <w:p>
            <w:pPr>
              <w:jc w:val="center"/>
              <w:ind w:right="231"/>
              <w:spacing w:after="0" w:line="202" w:lineRule="exact"/>
              <w:rPr>
                <w:sz w:val="20"/>
                <w:szCs w:val="20"/>
                <w:color w:val="auto"/>
              </w:rPr>
            </w:pPr>
            <w:r>
              <w:rPr>
                <w:rFonts w:ascii="Arial" w:cs="Arial" w:eastAsia="Arial" w:hAnsi="Arial"/>
                <w:sz w:val="18"/>
                <w:szCs w:val="18"/>
                <w:color w:val="auto"/>
                <w:w w:val="91"/>
              </w:rPr>
              <w:t>100%</w:t>
            </w:r>
          </w:p>
        </w:tc>
      </w:tr>
      <w:tr>
        <w:trPr>
          <w:trHeight w:val="203"/>
        </w:trPr>
        <w:tc>
          <w:tcPr>
            <w:tcW w:w="418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color w:val="auto"/>
              </w:rPr>
              <w:t>Jennifer Fulk</w:t>
            </w:r>
          </w:p>
        </w:tc>
        <w:tc>
          <w:tcPr>
            <w:tcW w:w="2920" w:type="dxa"/>
            <w:vAlign w:val="bottom"/>
          </w:tcPr>
          <w:p>
            <w:pPr>
              <w:jc w:val="center"/>
              <w:spacing w:after="0" w:line="202" w:lineRule="exact"/>
              <w:rPr>
                <w:sz w:val="20"/>
                <w:szCs w:val="20"/>
                <w:color w:val="auto"/>
              </w:rPr>
            </w:pPr>
            <w:r>
              <w:rPr>
                <w:rFonts w:ascii="Arial" w:cs="Arial" w:eastAsia="Arial" w:hAnsi="Arial"/>
                <w:sz w:val="18"/>
                <w:szCs w:val="18"/>
                <w:color w:val="auto"/>
                <w:w w:val="90"/>
              </w:rPr>
              <w:t>$400,000</w:t>
            </w:r>
          </w:p>
        </w:tc>
        <w:tc>
          <w:tcPr>
            <w:tcW w:w="4140" w:type="dxa"/>
            <w:vAlign w:val="bottom"/>
            <w:tcBorders>
              <w:right w:val="single" w:sz="8" w:color="auto"/>
            </w:tcBorders>
          </w:tcPr>
          <w:p>
            <w:pPr>
              <w:jc w:val="center"/>
              <w:ind w:right="231"/>
              <w:spacing w:after="0" w:line="202" w:lineRule="exact"/>
              <w:rPr>
                <w:sz w:val="20"/>
                <w:szCs w:val="20"/>
                <w:color w:val="auto"/>
              </w:rPr>
            </w:pPr>
            <w:r>
              <w:rPr>
                <w:rFonts w:ascii="Arial" w:cs="Arial" w:eastAsia="Arial" w:hAnsi="Arial"/>
                <w:sz w:val="18"/>
                <w:szCs w:val="18"/>
                <w:color w:val="auto"/>
                <w:w w:val="91"/>
              </w:rPr>
              <w:t>100%</w:t>
            </w:r>
          </w:p>
        </w:tc>
      </w:tr>
      <w:tr>
        <w:trPr>
          <w:trHeight w:val="203"/>
        </w:trPr>
        <w:tc>
          <w:tcPr>
            <w:tcW w:w="418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color w:val="auto"/>
              </w:rPr>
              <w:t>Samara H. Braunstein</w:t>
            </w:r>
          </w:p>
        </w:tc>
        <w:tc>
          <w:tcPr>
            <w:tcW w:w="2920" w:type="dxa"/>
            <w:vAlign w:val="bottom"/>
          </w:tcPr>
          <w:p>
            <w:pPr>
              <w:jc w:val="center"/>
              <w:spacing w:after="0" w:line="202" w:lineRule="exact"/>
              <w:rPr>
                <w:sz w:val="20"/>
                <w:szCs w:val="20"/>
                <w:color w:val="auto"/>
              </w:rPr>
            </w:pPr>
            <w:r>
              <w:rPr>
                <w:rFonts w:ascii="Arial" w:cs="Arial" w:eastAsia="Arial" w:hAnsi="Arial"/>
                <w:sz w:val="18"/>
                <w:szCs w:val="18"/>
                <w:color w:val="auto"/>
                <w:w w:val="90"/>
              </w:rPr>
              <w:t>$330,000</w:t>
            </w:r>
          </w:p>
        </w:tc>
        <w:tc>
          <w:tcPr>
            <w:tcW w:w="4140" w:type="dxa"/>
            <w:vAlign w:val="bottom"/>
            <w:tcBorders>
              <w:right w:val="single" w:sz="8" w:color="auto"/>
            </w:tcBorders>
          </w:tcPr>
          <w:p>
            <w:pPr>
              <w:jc w:val="center"/>
              <w:ind w:right="231"/>
              <w:spacing w:after="0" w:line="202" w:lineRule="exact"/>
              <w:rPr>
                <w:sz w:val="20"/>
                <w:szCs w:val="20"/>
                <w:color w:val="auto"/>
              </w:rPr>
            </w:pPr>
            <w:r>
              <w:rPr>
                <w:rFonts w:ascii="Arial" w:cs="Arial" w:eastAsia="Arial" w:hAnsi="Arial"/>
                <w:sz w:val="18"/>
                <w:szCs w:val="18"/>
                <w:color w:val="auto"/>
                <w:w w:val="94"/>
              </w:rPr>
              <w:t>50%</w:t>
            </w:r>
          </w:p>
        </w:tc>
      </w:tr>
      <w:tr>
        <w:trPr>
          <w:trHeight w:val="203"/>
        </w:trPr>
        <w:tc>
          <w:tcPr>
            <w:tcW w:w="418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color w:val="auto"/>
              </w:rPr>
              <w:t>Gil Margolin</w:t>
            </w:r>
          </w:p>
        </w:tc>
        <w:tc>
          <w:tcPr>
            <w:tcW w:w="2920" w:type="dxa"/>
            <w:vAlign w:val="bottom"/>
          </w:tcPr>
          <w:p>
            <w:pPr>
              <w:jc w:val="center"/>
              <w:spacing w:after="0" w:line="202" w:lineRule="exact"/>
              <w:rPr>
                <w:sz w:val="20"/>
                <w:szCs w:val="20"/>
                <w:color w:val="auto"/>
              </w:rPr>
            </w:pPr>
            <w:r>
              <w:rPr>
                <w:rFonts w:ascii="Arial" w:cs="Arial" w:eastAsia="Arial" w:hAnsi="Arial"/>
                <w:sz w:val="18"/>
                <w:szCs w:val="18"/>
                <w:color w:val="auto"/>
                <w:w w:val="90"/>
              </w:rPr>
              <w:t>$330,000</w:t>
            </w:r>
          </w:p>
        </w:tc>
        <w:tc>
          <w:tcPr>
            <w:tcW w:w="4140" w:type="dxa"/>
            <w:vAlign w:val="bottom"/>
            <w:tcBorders>
              <w:right w:val="single" w:sz="8" w:color="auto"/>
            </w:tcBorders>
          </w:tcPr>
          <w:p>
            <w:pPr>
              <w:jc w:val="center"/>
              <w:ind w:right="231"/>
              <w:spacing w:after="0" w:line="202" w:lineRule="exact"/>
              <w:rPr>
                <w:sz w:val="20"/>
                <w:szCs w:val="20"/>
                <w:color w:val="auto"/>
              </w:rPr>
            </w:pPr>
            <w:r>
              <w:rPr>
                <w:rFonts w:ascii="Arial" w:cs="Arial" w:eastAsia="Arial" w:hAnsi="Arial"/>
                <w:sz w:val="18"/>
                <w:szCs w:val="18"/>
                <w:color w:val="auto"/>
                <w:w w:val="94"/>
              </w:rPr>
              <w:t>50%</w:t>
            </w:r>
          </w:p>
        </w:tc>
      </w:tr>
      <w:tr>
        <w:trPr>
          <w:trHeight w:val="203"/>
        </w:trPr>
        <w:tc>
          <w:tcPr>
            <w:tcW w:w="418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color w:val="auto"/>
              </w:rPr>
              <w:t>John C. Reilly</w:t>
            </w:r>
          </w:p>
        </w:tc>
        <w:tc>
          <w:tcPr>
            <w:tcW w:w="2920" w:type="dxa"/>
            <w:vAlign w:val="bottom"/>
          </w:tcPr>
          <w:p>
            <w:pPr>
              <w:jc w:val="center"/>
              <w:spacing w:after="0" w:line="202" w:lineRule="exact"/>
              <w:rPr>
                <w:sz w:val="20"/>
                <w:szCs w:val="20"/>
                <w:color w:val="auto"/>
              </w:rPr>
            </w:pPr>
            <w:r>
              <w:rPr>
                <w:rFonts w:ascii="Arial" w:cs="Arial" w:eastAsia="Arial" w:hAnsi="Arial"/>
                <w:sz w:val="18"/>
                <w:szCs w:val="18"/>
                <w:color w:val="auto"/>
                <w:w w:val="90"/>
              </w:rPr>
              <w:t>$260,000</w:t>
            </w:r>
          </w:p>
        </w:tc>
        <w:tc>
          <w:tcPr>
            <w:tcW w:w="4140" w:type="dxa"/>
            <w:vAlign w:val="bottom"/>
            <w:tcBorders>
              <w:right w:val="single" w:sz="8" w:color="auto"/>
            </w:tcBorders>
          </w:tcPr>
          <w:p>
            <w:pPr>
              <w:jc w:val="center"/>
              <w:ind w:right="231"/>
              <w:spacing w:after="0" w:line="202" w:lineRule="exact"/>
              <w:rPr>
                <w:sz w:val="20"/>
                <w:szCs w:val="20"/>
                <w:color w:val="auto"/>
              </w:rPr>
            </w:pPr>
            <w:r>
              <w:rPr>
                <w:rFonts w:ascii="Arial" w:cs="Arial" w:eastAsia="Arial" w:hAnsi="Arial"/>
                <w:sz w:val="18"/>
                <w:szCs w:val="18"/>
                <w:color w:val="auto"/>
                <w:w w:val="94"/>
              </w:rPr>
              <w:t>30%</w:t>
            </w:r>
          </w:p>
        </w:tc>
      </w:tr>
      <w:tr>
        <w:trPr>
          <w:trHeight w:val="217"/>
        </w:trPr>
        <w:tc>
          <w:tcPr>
            <w:tcW w:w="41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Roni Frank</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$275,000</w:t>
            </w:r>
          </w:p>
        </w:tc>
        <w:tc>
          <w:tcPr>
            <w:tcW w:w="4140" w:type="dxa"/>
            <w:vAlign w:val="bottom"/>
            <w:tcBorders>
              <w:bottom w:val="single" w:sz="8" w:color="auto"/>
              <w:right w:val="single" w:sz="8" w:color="auto"/>
            </w:tcBorders>
          </w:tcPr>
          <w:p>
            <w:pPr>
              <w:jc w:val="center"/>
              <w:ind w:right="231"/>
              <w:spacing w:after="0"/>
              <w:rPr>
                <w:sz w:val="20"/>
                <w:szCs w:val="20"/>
                <w:color w:val="auto"/>
              </w:rPr>
            </w:pPr>
            <w:r>
              <w:rPr>
                <w:rFonts w:ascii="Arial" w:cs="Arial" w:eastAsia="Arial" w:hAnsi="Arial"/>
                <w:sz w:val="18"/>
                <w:szCs w:val="18"/>
                <w:color w:val="auto"/>
                <w:w w:val="94"/>
              </w:rPr>
              <w:t>50%</w:t>
            </w:r>
          </w:p>
        </w:tc>
      </w:tr>
    </w:tbl>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In addition, the Employment Agreements provide for option and RSU grants under the 2021 Plan in the amounts and subject to the vesting conditions described above under </w:t>
      </w:r>
      <w:r>
        <w:rPr>
          <w:rFonts w:ascii="Arial" w:cs="Arial" w:eastAsia="Arial" w:hAnsi="Arial"/>
          <w:sz w:val="18"/>
          <w:szCs w:val="18"/>
          <w:i w:val="1"/>
          <w:iCs w:val="1"/>
          <w:color w:val="auto"/>
        </w:rPr>
        <w:t>“Grants of Plan Based Awards in Fiscal 2021”</w:t>
      </w:r>
      <w:r>
        <w:rPr>
          <w:rFonts w:ascii="Arial" w:cs="Arial" w:eastAsia="Arial" w:hAnsi="Arial"/>
          <w:sz w:val="18"/>
          <w:szCs w:val="18"/>
          <w:color w:val="auto"/>
        </w:rPr>
        <w:t xml:space="preserve"> and contain customary confidentiality and assignment of invention provisions, as well as standard non-compete and non-solicit restrictions effective during employment and for 12 months thereafter.</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Jennifer Fulk’s Employment Agreement also provides for a $200,000 signing bonus, payable upon the completion of her first thirty days of employment with the Company, and, beginning in 2022, for an annual equity-based award as determined by the Board from time-to-time.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Agreements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entered into retention agreements with Messrs. Margolin and Reilly and Ms. Fulk and Braunstein on December 6, 2021 (the “</w:t>
      </w:r>
      <w:r>
        <w:rPr>
          <w:rFonts w:ascii="Arial" w:cs="Arial" w:eastAsia="Arial" w:hAnsi="Arial"/>
          <w:sz w:val="18"/>
          <w:szCs w:val="18"/>
          <w:i w:val="1"/>
          <w:iCs w:val="1"/>
          <w:color w:val="auto"/>
        </w:rPr>
        <w:t>Retention Agreements</w:t>
      </w:r>
      <w:r>
        <w:rPr>
          <w:rFonts w:ascii="Arial" w:cs="Arial" w:eastAsia="Arial" w:hAnsi="Arial"/>
          <w:sz w:val="18"/>
          <w:szCs w:val="18"/>
          <w:color w:val="auto"/>
        </w:rPr>
        <w:t>”), which provide for retention bonus payments of $400,000, $200,000, $400,000, and $165,000, respectively, to be paid 50% on the first payroll date following the last day of the second quarter of the fiscal year ending December 31, 2022, subject to each NEO’s continued employment through the date of payment, and 50% on the first payroll date following the last day of the third quarter of the fiscal year ending December 31, 2022, subject to each NEO’s continued employment through December 31, 2022 (with the Company retaining the right to seek repayment of the second installment in the event any NEO resigns or is terminated for cause on or before December 31,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November 14, 2021, we entered into Separation &amp; Transition Agreements and General Releases of All Claims with Oren Frank and Roni Frank (the “</w:t>
      </w:r>
      <w:r>
        <w:rPr>
          <w:rFonts w:ascii="Arial" w:cs="Arial" w:eastAsia="Arial" w:hAnsi="Arial"/>
          <w:sz w:val="18"/>
          <w:szCs w:val="18"/>
          <w:i w:val="1"/>
          <w:iCs w:val="1"/>
          <w:color w:val="auto"/>
        </w:rPr>
        <w:t>Separation Agreements</w:t>
      </w:r>
      <w:r>
        <w:rPr>
          <w:rFonts w:ascii="Arial" w:cs="Arial" w:eastAsia="Arial" w:hAnsi="Arial"/>
          <w:sz w:val="18"/>
          <w:szCs w:val="18"/>
          <w:color w:val="auto"/>
        </w:rPr>
        <w:t>”) in connection with their termination of employment with the Company. The Separation Agreements provide for the separation payments as provided in the table below.</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bl>
      <w:tblPr>
        <w:tblLayout w:type="fixed"/>
        <w:tblInd w:w="0" w:type="dxa"/>
        <w:tblCellMar>
          <w:top w:w="0" w:type="dxa"/>
          <w:left w:w="0" w:type="dxa"/>
          <w:bottom w:w="0" w:type="dxa"/>
          <w:right w:w="0" w:type="dxa"/>
        </w:tblCellMar>
      </w:tblPr>
      <w:tr>
        <w:trPr>
          <w:trHeight w:val="199"/>
        </w:trPr>
        <w:tc>
          <w:tcPr>
            <w:tcW w:w="540" w:type="dxa"/>
            <w:vAlign w:val="bottom"/>
            <w:tcBorders>
              <w:top w:val="single" w:sz="8" w:color="0000FF"/>
              <w:right w:val="single" w:sz="8" w:color="auto"/>
            </w:tcBorders>
          </w:tcPr>
          <w:p>
            <w:pPr>
              <w:spacing w:after="0"/>
              <w:rPr>
                <w:sz w:val="17"/>
                <w:szCs w:val="17"/>
                <w:color w:val="auto"/>
              </w:rPr>
            </w:pPr>
          </w:p>
        </w:tc>
        <w:tc>
          <w:tcPr>
            <w:tcW w:w="2700" w:type="dxa"/>
            <w:vAlign w:val="bottom"/>
            <w:tcBorders>
              <w:top w:val="single" w:sz="8" w:color="auto"/>
              <w:bottom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5"/>
                <w:szCs w:val="15"/>
                <w:b w:val="1"/>
                <w:bCs w:val="1"/>
                <w:color w:val="auto"/>
                <w:w w:val="92"/>
              </w:rPr>
              <w:t>Payment Type</w:t>
            </w:r>
          </w:p>
        </w:tc>
        <w:tc>
          <w:tcPr>
            <w:tcW w:w="2820" w:type="dxa"/>
            <w:vAlign w:val="bottom"/>
            <w:tcBorders>
              <w:top w:val="single" w:sz="8" w:color="auto"/>
              <w:bottom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5"/>
                <w:szCs w:val="15"/>
                <w:b w:val="1"/>
                <w:bCs w:val="1"/>
                <w:color w:val="auto"/>
                <w:w w:val="89"/>
              </w:rPr>
              <w:t>Payment Schedule</w:t>
            </w:r>
          </w:p>
        </w:tc>
        <w:tc>
          <w:tcPr>
            <w:tcW w:w="2300" w:type="dxa"/>
            <w:vAlign w:val="bottom"/>
            <w:tcBorders>
              <w:top w:val="single" w:sz="8" w:color="auto"/>
              <w:bottom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5"/>
                <w:szCs w:val="15"/>
                <w:b w:val="1"/>
                <w:bCs w:val="1"/>
                <w:color w:val="auto"/>
                <w:w w:val="96"/>
              </w:rPr>
              <w:t>Oren Frank Benefit</w:t>
            </w:r>
          </w:p>
        </w:tc>
        <w:tc>
          <w:tcPr>
            <w:tcW w:w="2380" w:type="dxa"/>
            <w:vAlign w:val="bottom"/>
            <w:tcBorders>
              <w:top w:val="single" w:sz="8" w:color="auto"/>
              <w:bottom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5"/>
                <w:szCs w:val="15"/>
                <w:b w:val="1"/>
                <w:bCs w:val="1"/>
                <w:color w:val="auto"/>
                <w:w w:val="94"/>
              </w:rPr>
              <w:t>Roni Frank Benefit</w:t>
            </w:r>
          </w:p>
        </w:tc>
      </w:tr>
      <w:tr>
        <w:trPr>
          <w:trHeight w:val="129"/>
        </w:trPr>
        <w:tc>
          <w:tcPr>
            <w:tcW w:w="540" w:type="dxa"/>
            <w:vAlign w:val="bottom"/>
            <w:tcBorders>
              <w:right w:val="single" w:sz="8" w:color="auto"/>
            </w:tcBorders>
          </w:tcPr>
          <w:p>
            <w:pPr>
              <w:spacing w:after="0"/>
              <w:rPr>
                <w:sz w:val="11"/>
                <w:szCs w:val="11"/>
                <w:color w:val="auto"/>
              </w:rPr>
            </w:pPr>
          </w:p>
        </w:tc>
        <w:tc>
          <w:tcPr>
            <w:tcW w:w="2700" w:type="dxa"/>
            <w:vAlign w:val="bottom"/>
            <w:tcBorders>
              <w:right w:val="single" w:sz="8" w:color="auto"/>
            </w:tcBorders>
          </w:tcPr>
          <w:p>
            <w:pPr>
              <w:ind w:left="320"/>
              <w:spacing w:after="0" w:line="129" w:lineRule="exact"/>
              <w:rPr>
                <w:sz w:val="20"/>
                <w:szCs w:val="20"/>
                <w:color w:val="auto"/>
              </w:rPr>
            </w:pPr>
            <w:r>
              <w:rPr>
                <w:rFonts w:ascii="Arial" w:cs="Arial" w:eastAsia="Arial" w:hAnsi="Arial"/>
                <w:sz w:val="14"/>
                <w:szCs w:val="14"/>
                <w:color w:val="auto"/>
              </w:rPr>
              <w:t>Payment for Compliance with</w:t>
            </w:r>
          </w:p>
        </w:tc>
        <w:tc>
          <w:tcPr>
            <w:tcW w:w="2820" w:type="dxa"/>
            <w:vAlign w:val="bottom"/>
            <w:tcBorders>
              <w:right w:val="single" w:sz="8" w:color="auto"/>
            </w:tcBorders>
          </w:tcPr>
          <w:p>
            <w:pPr>
              <w:ind w:left="340"/>
              <w:spacing w:after="0" w:line="129" w:lineRule="exact"/>
              <w:rPr>
                <w:sz w:val="20"/>
                <w:szCs w:val="20"/>
                <w:color w:val="auto"/>
              </w:rPr>
            </w:pPr>
            <w:r>
              <w:rPr>
                <w:rFonts w:ascii="Arial" w:cs="Arial" w:eastAsia="Arial" w:hAnsi="Arial"/>
                <w:sz w:val="14"/>
                <w:szCs w:val="14"/>
                <w:color w:val="auto"/>
              </w:rPr>
              <w:t>First payroll following 6 month</w:t>
            </w:r>
          </w:p>
        </w:tc>
        <w:tc>
          <w:tcPr>
            <w:tcW w:w="468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rPr>
              <w:t>$125,000</w:t>
            </w:r>
          </w:p>
        </w:tc>
      </w:tr>
      <w:tr>
        <w:trPr>
          <w:trHeight w:val="162"/>
        </w:trPr>
        <w:tc>
          <w:tcPr>
            <w:tcW w:w="5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1"/>
              </w:rPr>
              <w:t>Restrictive Covenants</w:t>
            </w:r>
          </w:p>
        </w:tc>
        <w:tc>
          <w:tcPr>
            <w:tcW w:w="28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1"/>
              </w:rPr>
              <w:t>anniversary of Separation Date</w:t>
            </w:r>
          </w:p>
        </w:tc>
        <w:tc>
          <w:tcPr>
            <w:tcW w:w="230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(November 15, 2021)</w:t>
            </w:r>
          </w:p>
        </w:tc>
        <w:tc>
          <w:tcPr>
            <w:tcW w:w="2300" w:type="dxa"/>
            <w:vAlign w:val="bottom"/>
            <w:tcBorders>
              <w:bottom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r>
      <w:tr>
        <w:trPr>
          <w:trHeight w:val="146"/>
        </w:trPr>
        <w:tc>
          <w:tcPr>
            <w:tcW w:w="5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1"/>
              </w:rPr>
              <w:t>Base Salary Continuation</w:t>
            </w:r>
          </w:p>
        </w:tc>
        <w:tc>
          <w:tcPr>
            <w:tcW w:w="2820" w:type="dxa"/>
            <w:vAlign w:val="bottom"/>
            <w:tcBorders>
              <w:right w:val="single" w:sz="8" w:color="auto"/>
            </w:tcBorders>
          </w:tcPr>
          <w:p>
            <w:pPr>
              <w:jc w:val="center"/>
              <w:ind w:right="20"/>
              <w:spacing w:after="0" w:line="146" w:lineRule="exact"/>
              <w:rPr>
                <w:sz w:val="20"/>
                <w:szCs w:val="20"/>
                <w:color w:val="auto"/>
              </w:rPr>
            </w:pPr>
            <w:r>
              <w:rPr>
                <w:rFonts w:ascii="Arial" w:cs="Arial" w:eastAsia="Arial" w:hAnsi="Arial"/>
                <w:sz w:val="16"/>
                <w:szCs w:val="16"/>
                <w:color w:val="auto"/>
                <w:w w:val="91"/>
              </w:rPr>
              <w:t>Regularly scheduled payroll dates</w:t>
            </w:r>
          </w:p>
        </w:tc>
        <w:tc>
          <w:tcPr>
            <w:tcW w:w="23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0"/>
              </w:rPr>
              <w:t>12 months at an annual rate of</w:t>
            </w:r>
          </w:p>
        </w:tc>
        <w:tc>
          <w:tcPr>
            <w:tcW w:w="23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0"/>
              </w:rPr>
              <w:t>6 months at an annual rate of</w:t>
            </w:r>
          </w:p>
        </w:tc>
      </w:tr>
      <w:tr>
        <w:trPr>
          <w:trHeight w:val="162"/>
        </w:trPr>
        <w:tc>
          <w:tcPr>
            <w:tcW w:w="5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6"/>
              </w:rPr>
              <w:t>following the Effective Date</w:t>
            </w:r>
          </w:p>
        </w:tc>
        <w:tc>
          <w:tcPr>
            <w:tcW w:w="2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$350,000</w:t>
            </w:r>
          </w:p>
        </w:tc>
        <w:tc>
          <w:tcPr>
            <w:tcW w:w="2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$275,000</w:t>
            </w:r>
          </w:p>
        </w:tc>
      </w:tr>
      <w:tr>
        <w:trPr>
          <w:trHeight w:val="199"/>
        </w:trPr>
        <w:tc>
          <w:tcPr>
            <w:tcW w:w="540" w:type="dxa"/>
            <w:vAlign w:val="bottom"/>
            <w:tcBorders>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(November 21, 2021)</w:t>
            </w:r>
          </w:p>
        </w:tc>
        <w:tc>
          <w:tcPr>
            <w:tcW w:w="2300" w:type="dxa"/>
            <w:vAlign w:val="bottom"/>
            <w:tcBorders>
              <w:bottom w:val="single" w:sz="8" w:color="auto"/>
              <w:right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r>
      <w:tr>
        <w:trPr>
          <w:trHeight w:val="146"/>
        </w:trPr>
        <w:tc>
          <w:tcPr>
            <w:tcW w:w="5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3"/>
              </w:rPr>
              <w:t>COBRA Premium Reimbursement</w:t>
            </w:r>
          </w:p>
        </w:tc>
        <w:tc>
          <w:tcPr>
            <w:tcW w:w="2820" w:type="dxa"/>
            <w:vAlign w:val="bottom"/>
            <w:tcBorders>
              <w:right w:val="single" w:sz="8" w:color="auto"/>
            </w:tcBorders>
          </w:tcPr>
          <w:p>
            <w:pPr>
              <w:jc w:val="center"/>
              <w:ind w:right="20"/>
              <w:spacing w:after="0" w:line="146" w:lineRule="exact"/>
              <w:rPr>
                <w:sz w:val="20"/>
                <w:szCs w:val="20"/>
                <w:color w:val="auto"/>
              </w:rPr>
            </w:pPr>
            <w:r>
              <w:rPr>
                <w:rFonts w:ascii="Arial" w:cs="Arial" w:eastAsia="Arial" w:hAnsi="Arial"/>
                <w:sz w:val="16"/>
                <w:szCs w:val="16"/>
                <w:color w:val="auto"/>
                <w:w w:val="92"/>
              </w:rPr>
              <w:t>Equal monthly installments, as</w:t>
            </w:r>
          </w:p>
        </w:tc>
        <w:tc>
          <w:tcPr>
            <w:tcW w:w="4680" w:type="dxa"/>
            <w:vAlign w:val="bottom"/>
            <w:tcBorders>
              <w:right w:val="single" w:sz="8" w:color="auto"/>
            </w:tcBorders>
            <w:gridSpan w:val="2"/>
          </w:tcPr>
          <w:p>
            <w:pPr>
              <w:jc w:val="center"/>
              <w:spacing w:after="0" w:line="146" w:lineRule="exact"/>
              <w:rPr>
                <w:sz w:val="20"/>
                <w:szCs w:val="20"/>
                <w:color w:val="auto"/>
              </w:rPr>
            </w:pPr>
            <w:r>
              <w:rPr>
                <w:rFonts w:ascii="Arial" w:cs="Arial" w:eastAsia="Arial" w:hAnsi="Arial"/>
                <w:sz w:val="16"/>
                <w:szCs w:val="16"/>
                <w:color w:val="auto"/>
                <w:w w:val="91"/>
              </w:rPr>
              <w:t>24 months (or until covered under a subsequent employer’s plan)</w:t>
            </w:r>
          </w:p>
        </w:tc>
      </w:tr>
      <w:tr>
        <w:trPr>
          <w:trHeight w:val="199"/>
        </w:trPr>
        <w:tc>
          <w:tcPr>
            <w:tcW w:w="540" w:type="dxa"/>
            <w:vAlign w:val="bottom"/>
            <w:tcBorders>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applicable</w:t>
            </w:r>
          </w:p>
        </w:tc>
        <w:tc>
          <w:tcPr>
            <w:tcW w:w="2300" w:type="dxa"/>
            <w:vAlign w:val="bottom"/>
            <w:tcBorders>
              <w:bottom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r>
      <w:tr>
        <w:trPr>
          <w:trHeight w:val="146"/>
        </w:trPr>
        <w:tc>
          <w:tcPr>
            <w:tcW w:w="5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1"/>
              </w:rPr>
              <w:t>Lump Sum Cash Payment</w:t>
            </w:r>
          </w:p>
        </w:tc>
        <w:tc>
          <w:tcPr>
            <w:tcW w:w="28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6"/>
              </w:rPr>
              <w:t>First payroll following the Effective</w:t>
            </w:r>
          </w:p>
        </w:tc>
        <w:tc>
          <w:tcPr>
            <w:tcW w:w="4680" w:type="dxa"/>
            <w:vAlign w:val="bottom"/>
            <w:tcBorders>
              <w:right w:val="single" w:sz="8" w:color="auto"/>
            </w:tcBorders>
            <w:gridSpan w:val="2"/>
          </w:tcPr>
          <w:p>
            <w:pPr>
              <w:jc w:val="center"/>
              <w:spacing w:after="0" w:line="146" w:lineRule="exact"/>
              <w:rPr>
                <w:sz w:val="20"/>
                <w:szCs w:val="20"/>
                <w:color w:val="auto"/>
              </w:rPr>
            </w:pPr>
            <w:r>
              <w:rPr>
                <w:rFonts w:ascii="Arial" w:cs="Arial" w:eastAsia="Arial" w:hAnsi="Arial"/>
                <w:sz w:val="16"/>
                <w:szCs w:val="16"/>
                <w:color w:val="auto"/>
                <w:w w:val="92"/>
              </w:rPr>
              <w:t>$750,000</w:t>
            </w:r>
          </w:p>
        </w:tc>
      </w:tr>
      <w:tr>
        <w:trPr>
          <w:trHeight w:val="199"/>
        </w:trPr>
        <w:tc>
          <w:tcPr>
            <w:tcW w:w="540" w:type="dxa"/>
            <w:vAlign w:val="bottom"/>
            <w:tcBorders>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Date</w:t>
            </w:r>
          </w:p>
        </w:tc>
        <w:tc>
          <w:tcPr>
            <w:tcW w:w="2300" w:type="dxa"/>
            <w:vAlign w:val="bottom"/>
            <w:tcBorders>
              <w:bottom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r>
      <w:tr>
        <w:trPr>
          <w:trHeight w:val="146"/>
        </w:trPr>
        <w:tc>
          <w:tcPr>
            <w:tcW w:w="5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tcPr>
          <w:p>
            <w:pPr>
              <w:jc w:val="center"/>
              <w:ind w:right="20"/>
              <w:spacing w:after="0" w:line="146" w:lineRule="exact"/>
              <w:rPr>
                <w:sz w:val="20"/>
                <w:szCs w:val="20"/>
                <w:color w:val="auto"/>
              </w:rPr>
            </w:pPr>
            <w:r>
              <w:rPr>
                <w:rFonts w:ascii="Arial" w:cs="Arial" w:eastAsia="Arial" w:hAnsi="Arial"/>
                <w:sz w:val="16"/>
                <w:szCs w:val="16"/>
                <w:color w:val="auto"/>
                <w:w w:val="92"/>
              </w:rPr>
              <w:t>All stock options granted under the</w:t>
            </w:r>
          </w:p>
        </w:tc>
        <w:tc>
          <w:tcPr>
            <w:tcW w:w="28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4"/>
              </w:rPr>
              <w:t>As of the Effective Date</w:t>
            </w:r>
          </w:p>
        </w:tc>
        <w:tc>
          <w:tcPr>
            <w:tcW w:w="4680" w:type="dxa"/>
            <w:vAlign w:val="bottom"/>
            <w:tcBorders>
              <w:right w:val="single" w:sz="8" w:color="auto"/>
            </w:tcBorders>
            <w:gridSpan w:val="2"/>
          </w:tcPr>
          <w:p>
            <w:pPr>
              <w:jc w:val="center"/>
              <w:spacing w:after="0" w:line="146" w:lineRule="exact"/>
              <w:rPr>
                <w:sz w:val="20"/>
                <w:szCs w:val="20"/>
                <w:color w:val="auto"/>
              </w:rPr>
            </w:pPr>
            <w:r>
              <w:rPr>
                <w:rFonts w:ascii="Arial" w:cs="Arial" w:eastAsia="Arial" w:hAnsi="Arial"/>
                <w:sz w:val="16"/>
                <w:szCs w:val="16"/>
                <w:color w:val="auto"/>
                <w:w w:val="91"/>
              </w:rPr>
              <w:t>Vesting fully accelerated; exercisable until June 1, 2024</w:t>
            </w:r>
          </w:p>
        </w:tc>
      </w:tr>
      <w:tr>
        <w:trPr>
          <w:trHeight w:val="199"/>
        </w:trPr>
        <w:tc>
          <w:tcPr>
            <w:tcW w:w="540" w:type="dxa"/>
            <w:vAlign w:val="bottom"/>
            <w:tcBorders>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2014 Plan</w:t>
            </w:r>
          </w:p>
        </w:tc>
        <w:tc>
          <w:tcPr>
            <w:tcW w:w="282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r>
      <w:tr>
        <w:trPr>
          <w:trHeight w:val="146"/>
        </w:trPr>
        <w:tc>
          <w:tcPr>
            <w:tcW w:w="5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RSUs granted under the 2021 Plan</w:t>
            </w:r>
          </w:p>
        </w:tc>
        <w:tc>
          <w:tcPr>
            <w:tcW w:w="28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4"/>
              </w:rPr>
              <w:t>As of the Effective Date</w:t>
            </w:r>
          </w:p>
        </w:tc>
        <w:tc>
          <w:tcPr>
            <w:tcW w:w="23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3"/>
              </w:rPr>
              <w:t>270,700 fully vested; remaining</w:t>
            </w:r>
          </w:p>
        </w:tc>
        <w:tc>
          <w:tcPr>
            <w:tcW w:w="23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3"/>
              </w:rPr>
              <w:t>77,344 fully vested; remaining</w:t>
            </w:r>
          </w:p>
        </w:tc>
      </w:tr>
      <w:tr>
        <w:trPr>
          <w:trHeight w:val="162"/>
        </w:trPr>
        <w:tc>
          <w:tcPr>
            <w:tcW w:w="5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340"/>
              <w:spacing w:after="0" w:line="162" w:lineRule="exact"/>
              <w:rPr>
                <w:sz w:val="20"/>
                <w:szCs w:val="20"/>
                <w:color w:val="auto"/>
              </w:rPr>
            </w:pPr>
            <w:r>
              <w:rPr>
                <w:rFonts w:ascii="Arial" w:cs="Arial" w:eastAsia="Arial" w:hAnsi="Arial"/>
                <w:sz w:val="16"/>
                <w:szCs w:val="16"/>
                <w:color w:val="auto"/>
              </w:rPr>
              <w:t>162,425 forfeited for no</w:t>
            </w:r>
          </w:p>
        </w:tc>
        <w:tc>
          <w:tcPr>
            <w:tcW w:w="2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4"/>
              </w:rPr>
              <w:t>46,406 forfeited for no</w:t>
            </w:r>
          </w:p>
        </w:tc>
      </w:tr>
      <w:tr>
        <w:trPr>
          <w:trHeight w:val="199"/>
        </w:trPr>
        <w:tc>
          <w:tcPr>
            <w:tcW w:w="540" w:type="dxa"/>
            <w:vAlign w:val="bottom"/>
            <w:tcBorders>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consideration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consideration</w:t>
            </w:r>
          </w:p>
        </w:tc>
      </w:tr>
      <w:tr>
        <w:trPr>
          <w:trHeight w:val="146"/>
        </w:trPr>
        <w:tc>
          <w:tcPr>
            <w:tcW w:w="5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tcPr>
          <w:p>
            <w:pPr>
              <w:jc w:val="center"/>
              <w:ind w:right="20"/>
              <w:spacing w:after="0" w:line="146" w:lineRule="exact"/>
              <w:rPr>
                <w:sz w:val="20"/>
                <w:szCs w:val="20"/>
                <w:color w:val="auto"/>
              </w:rPr>
            </w:pPr>
            <w:r>
              <w:rPr>
                <w:rFonts w:ascii="Arial" w:cs="Arial" w:eastAsia="Arial" w:hAnsi="Arial"/>
                <w:sz w:val="16"/>
                <w:szCs w:val="16"/>
                <w:color w:val="auto"/>
                <w:w w:val="92"/>
              </w:rPr>
              <w:t>All stock options granted under the</w:t>
            </w:r>
          </w:p>
        </w:tc>
        <w:tc>
          <w:tcPr>
            <w:tcW w:w="28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94"/>
              </w:rPr>
              <w:t>As of the Effective Date</w:t>
            </w:r>
          </w:p>
        </w:tc>
        <w:tc>
          <w:tcPr>
            <w:tcW w:w="4680" w:type="dxa"/>
            <w:vAlign w:val="bottom"/>
            <w:tcBorders>
              <w:right w:val="single" w:sz="8" w:color="auto"/>
            </w:tcBorders>
            <w:gridSpan w:val="2"/>
          </w:tcPr>
          <w:p>
            <w:pPr>
              <w:jc w:val="center"/>
              <w:spacing w:after="0" w:line="146" w:lineRule="exact"/>
              <w:rPr>
                <w:sz w:val="20"/>
                <w:szCs w:val="20"/>
                <w:color w:val="auto"/>
              </w:rPr>
            </w:pPr>
            <w:r>
              <w:rPr>
                <w:rFonts w:ascii="Arial" w:cs="Arial" w:eastAsia="Arial" w:hAnsi="Arial"/>
                <w:sz w:val="16"/>
                <w:szCs w:val="16"/>
                <w:color w:val="auto"/>
                <w:w w:val="93"/>
              </w:rPr>
              <w:t>Forfeited for no consideration</w:t>
            </w:r>
          </w:p>
        </w:tc>
      </w:tr>
      <w:tr>
        <w:trPr>
          <w:trHeight w:val="199"/>
        </w:trPr>
        <w:tc>
          <w:tcPr>
            <w:tcW w:w="540" w:type="dxa"/>
            <w:vAlign w:val="bottom"/>
            <w:tcBorders>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2021 Plan</w:t>
            </w:r>
          </w:p>
        </w:tc>
        <w:tc>
          <w:tcPr>
            <w:tcW w:w="282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the Separation Agreements contain a standard release of all claims in favor of the Company and contain customary confidentiality, assignment of invention, and return of property provisions, a perpetual mutual non-disparagement provision, as well as standard non-compete and non-solicit restrictions effective for 12 months following the Separation Date.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base salary continuation payments and COBRA premium reimbursements represent severance benefits provided for under the Company’s Executive Severance Plan (except that, rather than receiving 12 and 6 months of COBRA reimbursement payments, respectively, Mr. and Ms. Frank are each entitled to receive 24 months of COBRA reimbursement payments; however because Ms. Frank did not participate in our group health plans as an employee as of December 31, 2021, she will not receive any COBRA reimbursement payments). In addition, the Company paid $750,000 to each of Mr. and Ms. Frank as an additional separation payment in recognition of their contributions to the Company as founders and as additional consideration for their continued compliance with their restrictive covenants. Mr. and Ms. Frank will provide strategic advisory services to the Board for a period of six months in order to assist in the orderly transition of their respective duties, and the $125,000 payment will be made in respect of such services and subject to their continued compliance with their restrictive covenants.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did not enter into any separation agreement in connection with the termination of Mark Hirschhorn’s employment on November 22, 2021 and he did not receive any payments and/or benefits upon his departure.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NEO as of December 31, 2021.</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1740" w:type="dxa"/>
            <w:vAlign w:val="bottom"/>
            <w:tcBorders>
              <w:top w:val="single" w:sz="8" w:color="auto"/>
              <w:left w:val="single" w:sz="8" w:color="auto"/>
              <w:right w:val="single" w:sz="8" w:color="auto"/>
            </w:tcBorders>
            <w:shd w:val="clear" w:color="auto" w:fill="D1F6FF"/>
          </w:tcPr>
          <w:p>
            <w:pPr>
              <w:ind w:left="700"/>
              <w:spacing w:after="0"/>
              <w:rPr>
                <w:sz w:val="20"/>
                <w:szCs w:val="20"/>
                <w:color w:val="auto"/>
              </w:rPr>
            </w:pPr>
            <w:r>
              <w:rPr>
                <w:rFonts w:ascii="Arial" w:cs="Arial" w:eastAsia="Arial" w:hAnsi="Arial"/>
                <w:sz w:val="12"/>
                <w:szCs w:val="12"/>
                <w:b w:val="1"/>
                <w:bCs w:val="1"/>
                <w:color w:val="auto"/>
              </w:rPr>
              <w:t>Name</w:t>
            </w:r>
          </w:p>
        </w:tc>
        <w:tc>
          <w:tcPr>
            <w:tcW w:w="1320" w:type="dxa"/>
            <w:vAlign w:val="bottom"/>
            <w:tcBorders>
              <w:top w:val="single" w:sz="8" w:color="auto"/>
              <w:right w:val="single" w:sz="8" w:color="auto"/>
            </w:tcBorders>
            <w:shd w:val="clear" w:color="auto" w:fill="D1F6FF"/>
          </w:tcPr>
          <w:p>
            <w:pPr>
              <w:ind w:left="340"/>
              <w:spacing w:after="0"/>
              <w:rPr>
                <w:sz w:val="20"/>
                <w:szCs w:val="20"/>
                <w:color w:val="auto"/>
              </w:rPr>
            </w:pPr>
            <w:r>
              <w:rPr>
                <w:rFonts w:ascii="Arial" w:cs="Arial" w:eastAsia="Arial" w:hAnsi="Arial"/>
                <w:sz w:val="12"/>
                <w:szCs w:val="12"/>
                <w:b w:val="1"/>
                <w:bCs w:val="1"/>
                <w:color w:val="auto"/>
              </w:rPr>
              <w:t>Grant Date</w:t>
            </w:r>
          </w:p>
        </w:tc>
        <w:tc>
          <w:tcPr>
            <w:tcW w:w="1460" w:type="dxa"/>
            <w:vAlign w:val="bottom"/>
            <w:tcBorders>
              <w:top w:val="single" w:sz="8" w:color="auto"/>
              <w:right w:val="single" w:sz="8" w:color="D1F6FF"/>
            </w:tcBorders>
            <w:shd w:val="clear" w:color="auto" w:fill="D1F6FF"/>
          </w:tcPr>
          <w:p>
            <w:pPr>
              <w:spacing w:after="0"/>
              <w:rPr>
                <w:sz w:val="14"/>
                <w:szCs w:val="14"/>
                <w:color w:val="auto"/>
              </w:rPr>
            </w:pPr>
          </w:p>
        </w:tc>
        <w:tc>
          <w:tcPr>
            <w:tcW w:w="1600" w:type="dxa"/>
            <w:vAlign w:val="bottom"/>
            <w:tcBorders>
              <w:top w:val="single" w:sz="8" w:color="auto"/>
            </w:tcBorders>
            <w:gridSpan w:val="2"/>
            <w:shd w:val="clear" w:color="auto" w:fill="D1F6FF"/>
          </w:tcPr>
          <w:p>
            <w:pPr>
              <w:ind w:left="820"/>
              <w:spacing w:after="0"/>
              <w:rPr>
                <w:sz w:val="20"/>
                <w:szCs w:val="20"/>
                <w:color w:val="auto"/>
              </w:rPr>
            </w:pPr>
            <w:r>
              <w:rPr>
                <w:rFonts w:ascii="Arial" w:cs="Arial" w:eastAsia="Arial" w:hAnsi="Arial"/>
                <w:sz w:val="12"/>
                <w:szCs w:val="12"/>
                <w:b w:val="1"/>
                <w:bCs w:val="1"/>
                <w:color w:val="auto"/>
                <w:w w:val="88"/>
              </w:rPr>
              <w:t>Option Awards</w:t>
            </w:r>
          </w:p>
        </w:tc>
        <w:tc>
          <w:tcPr>
            <w:tcW w:w="980" w:type="dxa"/>
            <w:vAlign w:val="bottom"/>
            <w:tcBorders>
              <w:top w:val="single" w:sz="8" w:color="auto"/>
              <w:right w:val="single" w:sz="8" w:color="D1F6FF"/>
            </w:tcBorders>
            <w:shd w:val="clear" w:color="auto" w:fill="D1F6FF"/>
          </w:tcPr>
          <w:p>
            <w:pPr>
              <w:spacing w:after="0"/>
              <w:rPr>
                <w:sz w:val="14"/>
                <w:szCs w:val="14"/>
                <w:color w:val="auto"/>
              </w:rPr>
            </w:pPr>
          </w:p>
        </w:tc>
        <w:tc>
          <w:tcPr>
            <w:tcW w:w="1320" w:type="dxa"/>
            <w:vAlign w:val="bottom"/>
            <w:tcBorders>
              <w:top w:val="single" w:sz="8" w:color="auto"/>
              <w:right w:val="single" w:sz="8" w:color="auto"/>
            </w:tcBorders>
            <w:shd w:val="clear" w:color="auto" w:fill="D1F6FF"/>
          </w:tcPr>
          <w:p>
            <w:pPr>
              <w:spacing w:after="0"/>
              <w:rPr>
                <w:sz w:val="14"/>
                <w:szCs w:val="14"/>
                <w:color w:val="auto"/>
              </w:rPr>
            </w:pPr>
          </w:p>
        </w:tc>
        <w:tc>
          <w:tcPr>
            <w:tcW w:w="2820" w:type="dxa"/>
            <w:vAlign w:val="bottom"/>
            <w:tcBorders>
              <w:top w:val="single" w:sz="8" w:color="auto"/>
              <w:right w:val="single" w:sz="8" w:color="auto"/>
            </w:tcBorders>
            <w:gridSpan w:val="2"/>
            <w:shd w:val="clear" w:color="auto" w:fill="D1F6FF"/>
          </w:tcPr>
          <w:p>
            <w:pPr>
              <w:jc w:val="right"/>
              <w:ind w:right="1017"/>
              <w:spacing w:after="0"/>
              <w:rPr>
                <w:sz w:val="20"/>
                <w:szCs w:val="20"/>
                <w:color w:val="auto"/>
              </w:rPr>
            </w:pPr>
            <w:r>
              <w:rPr>
                <w:rFonts w:ascii="Arial" w:cs="Arial" w:eastAsia="Arial" w:hAnsi="Arial"/>
                <w:sz w:val="12"/>
                <w:szCs w:val="12"/>
                <w:b w:val="1"/>
                <w:bCs w:val="1"/>
                <w:color w:val="auto"/>
              </w:rPr>
              <w:t>Stock Awards</w:t>
            </w:r>
          </w:p>
        </w:tc>
      </w:tr>
      <w:tr>
        <w:trPr>
          <w:trHeight w:val="328"/>
        </w:trPr>
        <w:tc>
          <w:tcPr>
            <w:tcW w:w="1740" w:type="dxa"/>
            <w:vAlign w:val="bottom"/>
            <w:tcBorders>
              <w:left w:val="single" w:sz="8" w:color="auto"/>
              <w:bottom w:val="single" w:sz="8" w:color="D1F6FF"/>
              <w:right w:val="single" w:sz="8" w:color="auto"/>
            </w:tcBorders>
            <w:shd w:val="clear" w:color="auto" w:fill="D1F6FF"/>
          </w:tcPr>
          <w:p>
            <w:pPr>
              <w:spacing w:after="0"/>
              <w:rPr>
                <w:sz w:val="24"/>
                <w:szCs w:val="24"/>
                <w:color w:val="auto"/>
              </w:rPr>
            </w:pPr>
          </w:p>
        </w:tc>
        <w:tc>
          <w:tcPr>
            <w:tcW w:w="1320" w:type="dxa"/>
            <w:vAlign w:val="bottom"/>
            <w:tcBorders>
              <w:bottom w:val="single" w:sz="8" w:color="D1F6FF"/>
              <w:right w:val="single" w:sz="8" w:color="auto"/>
            </w:tcBorders>
            <w:shd w:val="clear" w:color="auto" w:fill="D1F6FF"/>
          </w:tcPr>
          <w:p>
            <w:pPr>
              <w:spacing w:after="0"/>
              <w:rPr>
                <w:sz w:val="24"/>
                <w:szCs w:val="24"/>
                <w:color w:val="auto"/>
              </w:rPr>
            </w:pPr>
          </w:p>
        </w:tc>
        <w:tc>
          <w:tcPr>
            <w:tcW w:w="1460" w:type="dxa"/>
            <w:vAlign w:val="bottom"/>
            <w:tcBorders>
              <w:bottom w:val="single" w:sz="8" w:color="auto"/>
              <w:right w:val="single" w:sz="8" w:color="D1F6FF"/>
            </w:tcBorders>
            <w:shd w:val="clear" w:color="auto" w:fill="D1F6FF"/>
          </w:tcPr>
          <w:p>
            <w:pPr>
              <w:spacing w:after="0"/>
              <w:rPr>
                <w:sz w:val="24"/>
                <w:szCs w:val="24"/>
                <w:color w:val="auto"/>
              </w:rPr>
            </w:pPr>
          </w:p>
        </w:tc>
        <w:tc>
          <w:tcPr>
            <w:tcW w:w="1480" w:type="dxa"/>
            <w:vAlign w:val="bottom"/>
            <w:tcBorders>
              <w:bottom w:val="single" w:sz="8" w:color="auto"/>
              <w:right w:val="single" w:sz="8" w:color="D1F6FF"/>
            </w:tcBorders>
            <w:shd w:val="clear" w:color="auto" w:fill="D1F6FF"/>
          </w:tcPr>
          <w:p>
            <w:pPr>
              <w:spacing w:after="0"/>
              <w:rPr>
                <w:sz w:val="24"/>
                <w:szCs w:val="24"/>
                <w:color w:val="auto"/>
              </w:rPr>
            </w:pPr>
          </w:p>
        </w:tc>
        <w:tc>
          <w:tcPr>
            <w:tcW w:w="120" w:type="dxa"/>
            <w:vAlign w:val="bottom"/>
            <w:tcBorders>
              <w:bottom w:val="single" w:sz="8" w:color="auto"/>
            </w:tcBorders>
            <w:shd w:val="clear" w:color="auto" w:fill="D1F6FF"/>
          </w:tcPr>
          <w:p>
            <w:pPr>
              <w:spacing w:after="0"/>
              <w:rPr>
                <w:sz w:val="24"/>
                <w:szCs w:val="24"/>
                <w:color w:val="auto"/>
              </w:rPr>
            </w:pPr>
          </w:p>
        </w:tc>
        <w:tc>
          <w:tcPr>
            <w:tcW w:w="980" w:type="dxa"/>
            <w:vAlign w:val="bottom"/>
            <w:tcBorders>
              <w:bottom w:val="single" w:sz="8" w:color="auto"/>
              <w:right w:val="single" w:sz="8" w:color="D1F6FF"/>
            </w:tcBorders>
            <w:shd w:val="clear" w:color="auto" w:fill="D1F6FF"/>
          </w:tcPr>
          <w:p>
            <w:pPr>
              <w:spacing w:after="0"/>
              <w:rPr>
                <w:sz w:val="24"/>
                <w:szCs w:val="24"/>
                <w:color w:val="auto"/>
              </w:rPr>
            </w:pPr>
          </w:p>
        </w:tc>
        <w:tc>
          <w:tcPr>
            <w:tcW w:w="1320" w:type="dxa"/>
            <w:vAlign w:val="bottom"/>
            <w:tcBorders>
              <w:bottom w:val="single" w:sz="8" w:color="auto"/>
              <w:right w:val="single" w:sz="8" w:color="auto"/>
            </w:tcBorders>
            <w:shd w:val="clear" w:color="auto" w:fill="D1F6FF"/>
          </w:tcPr>
          <w:p>
            <w:pPr>
              <w:spacing w:after="0"/>
              <w:rPr>
                <w:sz w:val="24"/>
                <w:szCs w:val="24"/>
                <w:color w:val="auto"/>
              </w:rPr>
            </w:pPr>
          </w:p>
        </w:tc>
        <w:tc>
          <w:tcPr>
            <w:tcW w:w="1440" w:type="dxa"/>
            <w:vAlign w:val="bottom"/>
            <w:tcBorders>
              <w:bottom w:val="single" w:sz="8" w:color="auto"/>
              <w:right w:val="single" w:sz="8" w:color="D1F6FF"/>
            </w:tcBorders>
            <w:shd w:val="clear" w:color="auto" w:fill="D1F6FF"/>
          </w:tcPr>
          <w:p>
            <w:pPr>
              <w:spacing w:after="0"/>
              <w:rPr>
                <w:sz w:val="24"/>
                <w:szCs w:val="24"/>
                <w:color w:val="auto"/>
              </w:rPr>
            </w:pPr>
          </w:p>
        </w:tc>
        <w:tc>
          <w:tcPr>
            <w:tcW w:w="1380" w:type="dxa"/>
            <w:vAlign w:val="bottom"/>
            <w:tcBorders>
              <w:bottom w:val="single" w:sz="8" w:color="auto"/>
              <w:right w:val="single" w:sz="8" w:color="auto"/>
            </w:tcBorders>
            <w:shd w:val="clear" w:color="auto" w:fill="D1F6FF"/>
          </w:tcPr>
          <w:p>
            <w:pPr>
              <w:spacing w:after="0"/>
              <w:rPr>
                <w:sz w:val="24"/>
                <w:szCs w:val="24"/>
                <w:color w:val="auto"/>
              </w:rPr>
            </w:pPr>
          </w:p>
        </w:tc>
      </w:tr>
      <w:tr>
        <w:trPr>
          <w:trHeight w:val="114"/>
        </w:trPr>
        <w:tc>
          <w:tcPr>
            <w:tcW w:w="1740" w:type="dxa"/>
            <w:vAlign w:val="bottom"/>
            <w:tcBorders>
              <w:top w:val="single" w:sz="8" w:color="D1F6FF"/>
              <w:left w:val="single" w:sz="8" w:color="auto"/>
              <w:right w:val="single" w:sz="8" w:color="auto"/>
            </w:tcBorders>
            <w:shd w:val="clear" w:color="auto" w:fill="D1F6FF"/>
          </w:tcPr>
          <w:p>
            <w:pPr>
              <w:spacing w:after="0"/>
              <w:rPr>
                <w:sz w:val="9"/>
                <w:szCs w:val="9"/>
                <w:color w:val="auto"/>
              </w:rPr>
            </w:pPr>
          </w:p>
        </w:tc>
        <w:tc>
          <w:tcPr>
            <w:tcW w:w="1320" w:type="dxa"/>
            <w:vAlign w:val="bottom"/>
            <w:tcBorders>
              <w:top w:val="single" w:sz="8" w:color="D1F6FF"/>
              <w:right w:val="single" w:sz="8" w:color="auto"/>
            </w:tcBorders>
            <w:shd w:val="clear" w:color="auto" w:fill="D1F6FF"/>
          </w:tcPr>
          <w:p>
            <w:pPr>
              <w:spacing w:after="0"/>
              <w:rPr>
                <w:sz w:val="9"/>
                <w:szCs w:val="9"/>
                <w:color w:val="auto"/>
              </w:rPr>
            </w:pPr>
          </w:p>
        </w:tc>
        <w:tc>
          <w:tcPr>
            <w:tcW w:w="1460" w:type="dxa"/>
            <w:vAlign w:val="bottom"/>
            <w:tcBorders>
              <w:top w:val="single" w:sz="8" w:color="auto"/>
              <w:right w:val="single" w:sz="8" w:color="auto"/>
            </w:tcBorders>
            <w:shd w:val="clear" w:color="auto" w:fill="D1F6FF"/>
          </w:tcPr>
          <w:p>
            <w:pPr>
              <w:jc w:val="center"/>
              <w:spacing w:after="0" w:line="114" w:lineRule="exact"/>
              <w:rPr>
                <w:sz w:val="20"/>
                <w:szCs w:val="20"/>
                <w:color w:val="auto"/>
              </w:rPr>
            </w:pPr>
            <w:r>
              <w:rPr>
                <w:rFonts w:ascii="Arial" w:cs="Arial" w:eastAsia="Arial" w:hAnsi="Arial"/>
                <w:sz w:val="12"/>
                <w:szCs w:val="12"/>
                <w:b w:val="1"/>
                <w:bCs w:val="1"/>
                <w:color w:val="auto"/>
                <w:w w:val="86"/>
              </w:rPr>
              <w:t>Number of Securities</w:t>
            </w:r>
          </w:p>
        </w:tc>
        <w:tc>
          <w:tcPr>
            <w:tcW w:w="1480" w:type="dxa"/>
            <w:vAlign w:val="bottom"/>
            <w:tcBorders>
              <w:top w:val="single" w:sz="8" w:color="auto"/>
              <w:right w:val="single" w:sz="8" w:color="auto"/>
            </w:tcBorders>
            <w:shd w:val="clear" w:color="auto" w:fill="D1F6FF"/>
          </w:tcPr>
          <w:p>
            <w:pPr>
              <w:jc w:val="right"/>
              <w:ind w:right="178"/>
              <w:spacing w:after="0" w:line="114" w:lineRule="exact"/>
              <w:rPr>
                <w:sz w:val="20"/>
                <w:szCs w:val="20"/>
                <w:color w:val="auto"/>
              </w:rPr>
            </w:pPr>
            <w:r>
              <w:rPr>
                <w:rFonts w:ascii="Arial" w:cs="Arial" w:eastAsia="Arial" w:hAnsi="Arial"/>
                <w:sz w:val="12"/>
                <w:szCs w:val="12"/>
                <w:b w:val="1"/>
                <w:bCs w:val="1"/>
                <w:color w:val="auto"/>
              </w:rPr>
              <w:t>Number of Securities</w:t>
            </w:r>
          </w:p>
        </w:tc>
        <w:tc>
          <w:tcPr>
            <w:tcW w:w="120" w:type="dxa"/>
            <w:vAlign w:val="bottom"/>
            <w:tcBorders>
              <w:top w:val="single" w:sz="8" w:color="D1F6FF"/>
            </w:tcBorders>
            <w:shd w:val="clear" w:color="auto" w:fill="D1F6FF"/>
          </w:tcPr>
          <w:p>
            <w:pPr>
              <w:spacing w:after="0"/>
              <w:rPr>
                <w:sz w:val="9"/>
                <w:szCs w:val="9"/>
                <w:color w:val="auto"/>
              </w:rPr>
            </w:pPr>
          </w:p>
        </w:tc>
        <w:tc>
          <w:tcPr>
            <w:tcW w:w="980" w:type="dxa"/>
            <w:vAlign w:val="bottom"/>
            <w:tcBorders>
              <w:top w:val="single" w:sz="8" w:color="D1F6FF"/>
              <w:right w:val="single" w:sz="8" w:color="auto"/>
            </w:tcBorders>
            <w:shd w:val="clear" w:color="auto" w:fill="D1F6FF"/>
          </w:tcPr>
          <w:p>
            <w:pPr>
              <w:jc w:val="right"/>
              <w:ind w:right="117"/>
              <w:spacing w:after="0" w:line="114" w:lineRule="exact"/>
              <w:rPr>
                <w:sz w:val="20"/>
                <w:szCs w:val="20"/>
                <w:color w:val="auto"/>
              </w:rPr>
            </w:pPr>
            <w:r>
              <w:rPr>
                <w:rFonts w:ascii="Arial" w:cs="Arial" w:eastAsia="Arial" w:hAnsi="Arial"/>
                <w:sz w:val="12"/>
                <w:szCs w:val="12"/>
                <w:b w:val="1"/>
                <w:bCs w:val="1"/>
                <w:color w:val="auto"/>
                <w:w w:val="85"/>
              </w:rPr>
              <w:t>Option Exercise</w:t>
            </w:r>
          </w:p>
        </w:tc>
        <w:tc>
          <w:tcPr>
            <w:tcW w:w="1320" w:type="dxa"/>
            <w:vAlign w:val="bottom"/>
            <w:tcBorders>
              <w:top w:val="single" w:sz="8" w:color="D1F6FF"/>
              <w:right w:val="single" w:sz="8" w:color="auto"/>
            </w:tcBorders>
            <w:shd w:val="clear" w:color="auto" w:fill="D1F6FF"/>
          </w:tcPr>
          <w:p>
            <w:pPr>
              <w:jc w:val="right"/>
              <w:ind w:right="17"/>
              <w:spacing w:after="0" w:line="114" w:lineRule="exact"/>
              <w:rPr>
                <w:sz w:val="20"/>
                <w:szCs w:val="20"/>
                <w:color w:val="auto"/>
              </w:rPr>
            </w:pPr>
            <w:r>
              <w:rPr>
                <w:rFonts w:ascii="Arial" w:cs="Arial" w:eastAsia="Arial" w:hAnsi="Arial"/>
                <w:sz w:val="12"/>
                <w:szCs w:val="12"/>
                <w:b w:val="1"/>
                <w:bCs w:val="1"/>
                <w:color w:val="auto"/>
                <w:w w:val="93"/>
              </w:rPr>
              <w:t>Option Expiration Date</w:t>
            </w:r>
          </w:p>
        </w:tc>
        <w:tc>
          <w:tcPr>
            <w:tcW w:w="1440" w:type="dxa"/>
            <w:vAlign w:val="bottom"/>
            <w:tcBorders>
              <w:top w:val="single" w:sz="8" w:color="D1F6FF"/>
              <w:right w:val="single" w:sz="8" w:color="auto"/>
            </w:tcBorders>
            <w:shd w:val="clear" w:color="auto" w:fill="D1F6FF"/>
          </w:tcPr>
          <w:p>
            <w:pPr>
              <w:jc w:val="center"/>
              <w:spacing w:after="0" w:line="114" w:lineRule="exact"/>
              <w:rPr>
                <w:sz w:val="20"/>
                <w:szCs w:val="20"/>
                <w:color w:val="auto"/>
              </w:rPr>
            </w:pPr>
            <w:r>
              <w:rPr>
                <w:rFonts w:ascii="Arial" w:cs="Arial" w:eastAsia="Arial" w:hAnsi="Arial"/>
                <w:sz w:val="12"/>
                <w:szCs w:val="12"/>
                <w:b w:val="1"/>
                <w:bCs w:val="1"/>
                <w:color w:val="auto"/>
                <w:w w:val="88"/>
              </w:rPr>
              <w:t>Number of Shares or Units</w:t>
            </w:r>
          </w:p>
        </w:tc>
        <w:tc>
          <w:tcPr>
            <w:tcW w:w="1380" w:type="dxa"/>
            <w:vAlign w:val="bottom"/>
            <w:tcBorders>
              <w:top w:val="single" w:sz="8" w:color="D1F6FF"/>
              <w:right w:val="single" w:sz="8" w:color="auto"/>
            </w:tcBorders>
            <w:shd w:val="clear" w:color="auto" w:fill="D1F6FF"/>
          </w:tcPr>
          <w:p>
            <w:pPr>
              <w:jc w:val="right"/>
              <w:ind w:right="57"/>
              <w:spacing w:after="0" w:line="114" w:lineRule="exact"/>
              <w:rPr>
                <w:sz w:val="20"/>
                <w:szCs w:val="20"/>
                <w:color w:val="auto"/>
              </w:rPr>
            </w:pPr>
            <w:r>
              <w:rPr>
                <w:rFonts w:ascii="Arial" w:cs="Arial" w:eastAsia="Arial" w:hAnsi="Arial"/>
                <w:sz w:val="12"/>
                <w:szCs w:val="12"/>
                <w:b w:val="1"/>
                <w:bCs w:val="1"/>
                <w:color w:val="auto"/>
                <w:w w:val="93"/>
              </w:rPr>
              <w:t>Market Value of Shares</w:t>
            </w:r>
          </w:p>
        </w:tc>
      </w:tr>
      <w:tr>
        <w:trPr>
          <w:trHeight w:val="135"/>
        </w:trPr>
        <w:tc>
          <w:tcPr>
            <w:tcW w:w="1740" w:type="dxa"/>
            <w:vAlign w:val="bottom"/>
            <w:tcBorders>
              <w:left w:val="single" w:sz="8" w:color="auto"/>
              <w:right w:val="single" w:sz="8" w:color="auto"/>
            </w:tcBorders>
            <w:shd w:val="clear" w:color="auto" w:fill="D1F6FF"/>
          </w:tcPr>
          <w:p>
            <w:pPr>
              <w:spacing w:after="0"/>
              <w:rPr>
                <w:sz w:val="11"/>
                <w:szCs w:val="11"/>
                <w:color w:val="auto"/>
              </w:rPr>
            </w:pPr>
          </w:p>
        </w:tc>
        <w:tc>
          <w:tcPr>
            <w:tcW w:w="1320" w:type="dxa"/>
            <w:vAlign w:val="bottom"/>
            <w:tcBorders>
              <w:right w:val="single" w:sz="8" w:color="auto"/>
            </w:tcBorders>
            <w:shd w:val="clear" w:color="auto" w:fill="D1F6FF"/>
          </w:tcPr>
          <w:p>
            <w:pPr>
              <w:spacing w:after="0"/>
              <w:rPr>
                <w:sz w:val="11"/>
                <w:szCs w:val="11"/>
                <w:color w:val="auto"/>
              </w:rPr>
            </w:pPr>
          </w:p>
        </w:tc>
        <w:tc>
          <w:tcPr>
            <w:tcW w:w="1460" w:type="dxa"/>
            <w:vAlign w:val="bottom"/>
            <w:tcBorders>
              <w:right w:val="single" w:sz="8" w:color="auto"/>
            </w:tcBorders>
            <w:shd w:val="clear" w:color="auto" w:fill="D1F6FF"/>
          </w:tcPr>
          <w:p>
            <w:pPr>
              <w:jc w:val="center"/>
              <w:spacing w:after="0" w:line="135" w:lineRule="exact"/>
              <w:rPr>
                <w:sz w:val="20"/>
                <w:szCs w:val="20"/>
                <w:color w:val="auto"/>
              </w:rPr>
            </w:pPr>
            <w:r>
              <w:rPr>
                <w:rFonts w:ascii="Arial" w:cs="Arial" w:eastAsia="Arial" w:hAnsi="Arial"/>
                <w:sz w:val="12"/>
                <w:szCs w:val="12"/>
                <w:b w:val="1"/>
                <w:bCs w:val="1"/>
                <w:color w:val="auto"/>
                <w:w w:val="87"/>
              </w:rPr>
              <w:t>Underlying Unexercised</w:t>
            </w:r>
          </w:p>
        </w:tc>
        <w:tc>
          <w:tcPr>
            <w:tcW w:w="1480" w:type="dxa"/>
            <w:vAlign w:val="bottom"/>
            <w:tcBorders>
              <w:right w:val="single" w:sz="8" w:color="auto"/>
            </w:tcBorders>
            <w:shd w:val="clear" w:color="auto" w:fill="D1F6FF"/>
          </w:tcPr>
          <w:p>
            <w:pPr>
              <w:jc w:val="right"/>
              <w:ind w:right="98"/>
              <w:spacing w:after="0" w:line="135" w:lineRule="exact"/>
              <w:rPr>
                <w:sz w:val="20"/>
                <w:szCs w:val="20"/>
                <w:color w:val="auto"/>
              </w:rPr>
            </w:pPr>
            <w:r>
              <w:rPr>
                <w:rFonts w:ascii="Arial" w:cs="Arial" w:eastAsia="Arial" w:hAnsi="Arial"/>
                <w:sz w:val="12"/>
                <w:szCs w:val="12"/>
                <w:b w:val="1"/>
                <w:bCs w:val="1"/>
                <w:color w:val="auto"/>
                <w:w w:val="94"/>
              </w:rPr>
              <w:t>Underlying Unexercised</w:t>
            </w:r>
          </w:p>
        </w:tc>
        <w:tc>
          <w:tcPr>
            <w:tcW w:w="120" w:type="dxa"/>
            <w:vAlign w:val="bottom"/>
            <w:shd w:val="clear" w:color="auto" w:fill="D1F6FF"/>
          </w:tcPr>
          <w:p>
            <w:pPr>
              <w:spacing w:after="0"/>
              <w:rPr>
                <w:sz w:val="11"/>
                <w:szCs w:val="11"/>
                <w:color w:val="auto"/>
              </w:rPr>
            </w:pPr>
          </w:p>
        </w:tc>
        <w:tc>
          <w:tcPr>
            <w:tcW w:w="980" w:type="dxa"/>
            <w:vAlign w:val="bottom"/>
            <w:tcBorders>
              <w:right w:val="single" w:sz="8" w:color="auto"/>
            </w:tcBorders>
            <w:shd w:val="clear" w:color="auto" w:fill="D1F6FF"/>
          </w:tcPr>
          <w:p>
            <w:pPr>
              <w:jc w:val="right"/>
              <w:ind w:right="297"/>
              <w:spacing w:after="0" w:line="135" w:lineRule="exact"/>
              <w:rPr>
                <w:sz w:val="20"/>
                <w:szCs w:val="20"/>
                <w:color w:val="auto"/>
              </w:rPr>
            </w:pPr>
            <w:r>
              <w:rPr>
                <w:rFonts w:ascii="Arial" w:cs="Arial" w:eastAsia="Arial" w:hAnsi="Arial"/>
                <w:sz w:val="12"/>
                <w:szCs w:val="12"/>
                <w:b w:val="1"/>
                <w:bCs w:val="1"/>
                <w:color w:val="auto"/>
              </w:rPr>
              <w:t>Price ($)</w:t>
            </w:r>
          </w:p>
        </w:tc>
        <w:tc>
          <w:tcPr>
            <w:tcW w:w="1320" w:type="dxa"/>
            <w:vAlign w:val="bottom"/>
            <w:tcBorders>
              <w:right w:val="single" w:sz="8" w:color="auto"/>
            </w:tcBorders>
            <w:shd w:val="clear" w:color="auto" w:fill="D1F6FF"/>
          </w:tcPr>
          <w:p>
            <w:pPr>
              <w:spacing w:after="0"/>
              <w:rPr>
                <w:sz w:val="11"/>
                <w:szCs w:val="11"/>
                <w:color w:val="auto"/>
              </w:rPr>
            </w:pPr>
          </w:p>
        </w:tc>
        <w:tc>
          <w:tcPr>
            <w:tcW w:w="1440" w:type="dxa"/>
            <w:vAlign w:val="bottom"/>
            <w:tcBorders>
              <w:right w:val="single" w:sz="8" w:color="auto"/>
            </w:tcBorders>
            <w:shd w:val="clear" w:color="auto" w:fill="D1F6FF"/>
          </w:tcPr>
          <w:p>
            <w:pPr>
              <w:jc w:val="center"/>
              <w:spacing w:after="0" w:line="135" w:lineRule="exact"/>
              <w:rPr>
                <w:sz w:val="20"/>
                <w:szCs w:val="20"/>
                <w:color w:val="auto"/>
              </w:rPr>
            </w:pPr>
            <w:r>
              <w:rPr>
                <w:rFonts w:ascii="Arial" w:cs="Arial" w:eastAsia="Arial" w:hAnsi="Arial"/>
                <w:sz w:val="12"/>
                <w:szCs w:val="12"/>
                <w:b w:val="1"/>
                <w:bCs w:val="1"/>
                <w:color w:val="auto"/>
                <w:w w:val="88"/>
              </w:rPr>
              <w:t>of Stock That Have Not</w:t>
            </w:r>
          </w:p>
        </w:tc>
        <w:tc>
          <w:tcPr>
            <w:tcW w:w="1380" w:type="dxa"/>
            <w:vAlign w:val="bottom"/>
            <w:tcBorders>
              <w:right w:val="single" w:sz="8" w:color="auto"/>
            </w:tcBorders>
            <w:shd w:val="clear" w:color="auto" w:fill="D1F6FF"/>
          </w:tcPr>
          <w:p>
            <w:pPr>
              <w:ind w:left="120"/>
              <w:spacing w:after="0" w:line="135" w:lineRule="exact"/>
              <w:rPr>
                <w:sz w:val="20"/>
                <w:szCs w:val="20"/>
                <w:color w:val="auto"/>
              </w:rPr>
            </w:pPr>
            <w:r>
              <w:rPr>
                <w:rFonts w:ascii="Arial" w:cs="Arial" w:eastAsia="Arial" w:hAnsi="Arial"/>
                <w:sz w:val="12"/>
                <w:szCs w:val="12"/>
                <w:b w:val="1"/>
                <w:bCs w:val="1"/>
                <w:color w:val="auto"/>
                <w:w w:val="97"/>
              </w:rPr>
              <w:t>or Units of Stock That</w:t>
            </w:r>
          </w:p>
        </w:tc>
      </w:tr>
      <w:tr>
        <w:trPr>
          <w:trHeight w:val="185"/>
        </w:trPr>
        <w:tc>
          <w:tcPr>
            <w:tcW w:w="1740" w:type="dxa"/>
            <w:vAlign w:val="bottom"/>
            <w:tcBorders>
              <w:left w:val="single" w:sz="8" w:color="auto"/>
              <w:bottom w:val="single" w:sz="8" w:color="auto"/>
              <w:right w:val="single" w:sz="8" w:color="auto"/>
            </w:tcBorders>
            <w:shd w:val="clear" w:color="auto" w:fill="D1F6FF"/>
          </w:tcPr>
          <w:p>
            <w:pPr>
              <w:spacing w:after="0"/>
              <w:rPr>
                <w:sz w:val="16"/>
                <w:szCs w:val="16"/>
                <w:color w:val="auto"/>
              </w:rPr>
            </w:pPr>
          </w:p>
        </w:tc>
        <w:tc>
          <w:tcPr>
            <w:tcW w:w="1320" w:type="dxa"/>
            <w:vAlign w:val="bottom"/>
            <w:tcBorders>
              <w:bottom w:val="single" w:sz="8" w:color="auto"/>
              <w:right w:val="single" w:sz="8" w:color="auto"/>
            </w:tcBorders>
            <w:shd w:val="clear" w:color="auto" w:fill="D1F6FF"/>
          </w:tcPr>
          <w:p>
            <w:pPr>
              <w:spacing w:after="0"/>
              <w:rPr>
                <w:sz w:val="16"/>
                <w:szCs w:val="16"/>
                <w:color w:val="auto"/>
              </w:rPr>
            </w:pPr>
          </w:p>
        </w:tc>
        <w:tc>
          <w:tcPr>
            <w:tcW w:w="1460" w:type="dxa"/>
            <w:vAlign w:val="bottom"/>
            <w:tcBorders>
              <w:bottom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2"/>
                <w:szCs w:val="12"/>
                <w:b w:val="1"/>
                <w:bCs w:val="1"/>
                <w:color w:val="auto"/>
                <w:w w:val="86"/>
              </w:rPr>
              <w:t>Options (#) Exercisable</w:t>
            </w:r>
          </w:p>
        </w:tc>
        <w:tc>
          <w:tcPr>
            <w:tcW w:w="1480" w:type="dxa"/>
            <w:vAlign w:val="bottom"/>
            <w:tcBorders>
              <w:bottom w:val="single" w:sz="8" w:color="auto"/>
              <w:right w:val="single" w:sz="8" w:color="auto"/>
            </w:tcBorders>
            <w:shd w:val="clear" w:color="auto" w:fill="D1F6FF"/>
          </w:tcPr>
          <w:p>
            <w:pPr>
              <w:jc w:val="right"/>
              <w:ind w:right="38"/>
              <w:spacing w:after="0"/>
              <w:rPr>
                <w:sz w:val="20"/>
                <w:szCs w:val="20"/>
                <w:color w:val="auto"/>
              </w:rPr>
            </w:pPr>
            <w:r>
              <w:rPr>
                <w:rFonts w:ascii="Arial" w:cs="Arial" w:eastAsia="Arial" w:hAnsi="Arial"/>
                <w:sz w:val="12"/>
                <w:szCs w:val="12"/>
                <w:b w:val="1"/>
                <w:bCs w:val="1"/>
                <w:color w:val="auto"/>
                <w:w w:val="91"/>
              </w:rPr>
              <w:t>Options (#) Unexercisable</w:t>
            </w:r>
          </w:p>
        </w:tc>
        <w:tc>
          <w:tcPr>
            <w:tcW w:w="120" w:type="dxa"/>
            <w:vAlign w:val="bottom"/>
            <w:tcBorders>
              <w:bottom w:val="single" w:sz="8" w:color="auto"/>
            </w:tcBorders>
            <w:shd w:val="clear" w:color="auto" w:fill="D1F6FF"/>
          </w:tcPr>
          <w:p>
            <w:pPr>
              <w:spacing w:after="0"/>
              <w:rPr>
                <w:sz w:val="16"/>
                <w:szCs w:val="16"/>
                <w:color w:val="auto"/>
              </w:rPr>
            </w:pPr>
          </w:p>
        </w:tc>
        <w:tc>
          <w:tcPr>
            <w:tcW w:w="980" w:type="dxa"/>
            <w:vAlign w:val="bottom"/>
            <w:tcBorders>
              <w:bottom w:val="single" w:sz="8" w:color="auto"/>
              <w:right w:val="single" w:sz="8" w:color="auto"/>
            </w:tcBorders>
            <w:shd w:val="clear" w:color="auto" w:fill="D1F6FF"/>
          </w:tcPr>
          <w:p>
            <w:pPr>
              <w:spacing w:after="0"/>
              <w:rPr>
                <w:sz w:val="16"/>
                <w:szCs w:val="16"/>
                <w:color w:val="auto"/>
              </w:rPr>
            </w:pPr>
          </w:p>
        </w:tc>
        <w:tc>
          <w:tcPr>
            <w:tcW w:w="1320" w:type="dxa"/>
            <w:vAlign w:val="bottom"/>
            <w:tcBorders>
              <w:bottom w:val="single" w:sz="8" w:color="auto"/>
              <w:right w:val="single" w:sz="8" w:color="auto"/>
            </w:tcBorders>
            <w:shd w:val="clear" w:color="auto" w:fill="D1F6FF"/>
          </w:tcPr>
          <w:p>
            <w:pPr>
              <w:spacing w:after="0"/>
              <w:rPr>
                <w:sz w:val="16"/>
                <w:szCs w:val="16"/>
                <w:color w:val="auto"/>
              </w:rPr>
            </w:pPr>
          </w:p>
        </w:tc>
        <w:tc>
          <w:tcPr>
            <w:tcW w:w="1440" w:type="dxa"/>
            <w:vAlign w:val="bottom"/>
            <w:tcBorders>
              <w:bottom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2"/>
                <w:szCs w:val="12"/>
                <w:b w:val="1"/>
                <w:bCs w:val="1"/>
                <w:color w:val="auto"/>
                <w:w w:val="87"/>
              </w:rPr>
              <w:t>Vested (#)</w:t>
            </w:r>
          </w:p>
        </w:tc>
        <w:tc>
          <w:tcPr>
            <w:tcW w:w="1380" w:type="dxa"/>
            <w:vAlign w:val="bottom"/>
            <w:tcBorders>
              <w:bottom w:val="single" w:sz="8" w:color="auto"/>
              <w:right w:val="single" w:sz="8" w:color="auto"/>
            </w:tcBorders>
            <w:shd w:val="clear" w:color="auto" w:fill="D1F6FF"/>
          </w:tcPr>
          <w:p>
            <w:pPr>
              <w:ind w:left="120"/>
              <w:spacing w:after="0"/>
              <w:rPr>
                <w:sz w:val="20"/>
                <w:szCs w:val="20"/>
                <w:color w:val="auto"/>
              </w:rPr>
            </w:pPr>
            <w:r>
              <w:rPr>
                <w:rFonts w:ascii="Arial" w:cs="Arial" w:eastAsia="Arial" w:hAnsi="Arial"/>
                <w:sz w:val="12"/>
                <w:szCs w:val="12"/>
                <w:b w:val="1"/>
                <w:bCs w:val="1"/>
                <w:color w:val="auto"/>
                <w:w w:val="95"/>
              </w:rPr>
              <w:t>Have Not Vested ($)(1)</w:t>
            </w:r>
          </w:p>
        </w:tc>
      </w:tr>
      <w:tr>
        <w:trPr>
          <w:trHeight w:val="167"/>
        </w:trPr>
        <w:tc>
          <w:tcPr>
            <w:tcW w:w="1740" w:type="dxa"/>
            <w:vAlign w:val="bottom"/>
            <w:tcBorders>
              <w:left w:val="single" w:sz="8" w:color="auto"/>
              <w:bottom w:val="single" w:sz="8" w:color="auto"/>
              <w:right w:val="single" w:sz="8" w:color="auto"/>
            </w:tcBorders>
          </w:tcPr>
          <w:p>
            <w:pPr>
              <w:ind w:left="60"/>
              <w:spacing w:after="0" w:line="146" w:lineRule="exact"/>
              <w:rPr>
                <w:sz w:val="20"/>
                <w:szCs w:val="20"/>
                <w:color w:val="auto"/>
              </w:rPr>
            </w:pPr>
            <w:r>
              <w:rPr>
                <w:rFonts w:ascii="Arial" w:cs="Arial" w:eastAsia="Arial" w:hAnsi="Arial"/>
                <w:sz w:val="13"/>
                <w:szCs w:val="13"/>
                <w:color w:val="auto"/>
              </w:rPr>
              <w:t>Douglas L. Braunstein</w:t>
            </w:r>
          </w:p>
        </w:tc>
        <w:tc>
          <w:tcPr>
            <w:tcW w:w="1320" w:type="dxa"/>
            <w:vAlign w:val="bottom"/>
            <w:tcBorders>
              <w:bottom w:val="single" w:sz="8" w:color="auto"/>
              <w:right w:val="single" w:sz="8" w:color="auto"/>
            </w:tcBorders>
          </w:tcPr>
          <w:p>
            <w:pPr>
              <w:spacing w:after="0" w:line="141" w:lineRule="exact"/>
              <w:rPr>
                <w:sz w:val="20"/>
                <w:szCs w:val="20"/>
                <w:color w:val="auto"/>
              </w:rPr>
            </w:pPr>
            <w:r>
              <w:rPr>
                <w:rFonts w:ascii="Arial" w:cs="Arial" w:eastAsia="Arial" w:hAnsi="Arial"/>
                <w:sz w:val="13"/>
                <w:szCs w:val="13"/>
                <w:color w:val="auto"/>
              </w:rPr>
              <w:t>6/22/2021(4)</w:t>
            </w:r>
          </w:p>
        </w:tc>
        <w:tc>
          <w:tcPr>
            <w:tcW w:w="146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63,404</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8.52</w:t>
            </w:r>
          </w:p>
        </w:tc>
        <w:tc>
          <w:tcPr>
            <w:tcW w:w="132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6/21/2031</w:t>
            </w:r>
          </w:p>
        </w:tc>
        <w:tc>
          <w:tcPr>
            <w:tcW w:w="144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r>
      <w:tr>
        <w:trPr>
          <w:trHeight w:val="149"/>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line="141" w:lineRule="exact"/>
              <w:rPr>
                <w:sz w:val="20"/>
                <w:szCs w:val="20"/>
                <w:color w:val="auto"/>
              </w:rPr>
            </w:pPr>
            <w:r>
              <w:rPr>
                <w:rFonts w:ascii="Arial" w:cs="Arial" w:eastAsia="Arial" w:hAnsi="Arial"/>
                <w:sz w:val="13"/>
                <w:szCs w:val="13"/>
                <w:color w:val="auto"/>
              </w:rPr>
              <w:t>10/18/2021(11)</w:t>
            </w:r>
          </w:p>
        </w:tc>
        <w:tc>
          <w:tcPr>
            <w:tcW w:w="146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32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4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15,385</w:t>
            </w:r>
          </w:p>
        </w:tc>
        <w:tc>
          <w:tcPr>
            <w:tcW w:w="13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30,308</w:t>
            </w:r>
          </w:p>
        </w:tc>
      </w:tr>
      <w:tr>
        <w:trPr>
          <w:trHeight w:val="169"/>
        </w:trPr>
        <w:tc>
          <w:tcPr>
            <w:tcW w:w="1740" w:type="dxa"/>
            <w:vAlign w:val="bottom"/>
            <w:tcBorders>
              <w:left w:val="single" w:sz="8" w:color="auto"/>
              <w:bottom w:val="single" w:sz="8" w:color="auto"/>
              <w:right w:val="single" w:sz="8" w:color="auto"/>
            </w:tcBorders>
            <w:shd w:val="clear" w:color="auto" w:fill="D1F6FF"/>
          </w:tcPr>
          <w:p>
            <w:pPr>
              <w:ind w:left="60"/>
              <w:spacing w:after="0"/>
              <w:rPr>
                <w:sz w:val="20"/>
                <w:szCs w:val="20"/>
                <w:color w:val="auto"/>
              </w:rPr>
            </w:pPr>
            <w:r>
              <w:rPr>
                <w:rFonts w:ascii="Arial" w:cs="Arial" w:eastAsia="Arial" w:hAnsi="Arial"/>
                <w:sz w:val="13"/>
                <w:szCs w:val="13"/>
                <w:color w:val="auto"/>
              </w:rPr>
              <w:t>Oren Frank</w:t>
            </w: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1/15/2016(2)</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628,399</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0.23</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6/1/2024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9/1/2016(2)</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571,810</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0.39</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6/1/2024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10/17/2017(2)</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834,144</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0.51</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6/1/2024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8/5/2019(3)</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646,802</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1.21</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6/1/2024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8/18/2020(3)</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226,827</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1.22</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6/1/2024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Jennifer Fulk</w:t>
            </w: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7/15/2021(7)</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492,600</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5.81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7/14/2031</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10/18/2021(8)</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123,750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243,788</w:t>
            </w:r>
          </w:p>
        </w:tc>
      </w:tr>
      <w:tr>
        <w:trPr>
          <w:trHeight w:val="169"/>
        </w:trPr>
        <w:tc>
          <w:tcPr>
            <w:tcW w:w="1740" w:type="dxa"/>
            <w:vAlign w:val="bottom"/>
            <w:tcBorders>
              <w:left w:val="single" w:sz="8" w:color="auto"/>
              <w:bottom w:val="single" w:sz="8" w:color="auto"/>
              <w:right w:val="single" w:sz="8" w:color="auto"/>
            </w:tcBorders>
            <w:shd w:val="clear" w:color="auto" w:fill="D1F6FF"/>
          </w:tcPr>
          <w:p>
            <w:pPr>
              <w:ind w:left="60"/>
              <w:spacing w:after="0"/>
              <w:rPr>
                <w:sz w:val="20"/>
                <w:szCs w:val="20"/>
                <w:color w:val="auto"/>
              </w:rPr>
            </w:pPr>
            <w:r>
              <w:rPr>
                <w:rFonts w:ascii="Arial" w:cs="Arial" w:eastAsia="Arial" w:hAnsi="Arial"/>
                <w:sz w:val="13"/>
                <w:szCs w:val="13"/>
                <w:color w:val="auto"/>
              </w:rPr>
              <w:t>Mark Hirschhorn</w:t>
            </w: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2/11/2020(5)</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646,800</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1.21</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2/10/2030</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2/11/2020(5)</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275,102</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1.21</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2/10/2030</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7/15/2021(6)</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61,875</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5.81</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7/14/2031</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Samara H. Braunstein</w:t>
            </w: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1/14/2021(9)</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119,522</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389,029</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7.24</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1/13/2031</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7/15/2021(10)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30,937</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464,063</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5.81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7/14/2031</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10/18/2021(11)</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116,016</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228,552</w:t>
            </w:r>
          </w:p>
        </w:tc>
      </w:tr>
      <w:tr>
        <w:trPr>
          <w:trHeight w:val="169"/>
        </w:trPr>
        <w:tc>
          <w:tcPr>
            <w:tcW w:w="1740" w:type="dxa"/>
            <w:vAlign w:val="bottom"/>
            <w:tcBorders>
              <w:left w:val="single" w:sz="8" w:color="auto"/>
              <w:bottom w:val="single" w:sz="8" w:color="auto"/>
              <w:right w:val="single" w:sz="8" w:color="auto"/>
            </w:tcBorders>
            <w:shd w:val="clear" w:color="auto" w:fill="D1F6FF"/>
          </w:tcPr>
          <w:p>
            <w:pPr>
              <w:ind w:left="60"/>
              <w:spacing w:after="0"/>
              <w:rPr>
                <w:sz w:val="20"/>
                <w:szCs w:val="20"/>
                <w:color w:val="auto"/>
              </w:rPr>
            </w:pPr>
            <w:r>
              <w:rPr>
                <w:rFonts w:ascii="Arial" w:cs="Arial" w:eastAsia="Arial" w:hAnsi="Arial"/>
                <w:sz w:val="13"/>
                <w:szCs w:val="13"/>
                <w:color w:val="auto"/>
              </w:rPr>
              <w:t>Gil Margolin</w:t>
            </w: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12/8/2014(2)</w:t>
            </w:r>
          </w:p>
        </w:tc>
        <w:tc>
          <w:tcPr>
            <w:tcW w:w="146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656,990</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0.10</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12/7/2024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9/1/2016(2)</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253,094</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0.39</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8/31/2026</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10/17/2017(2)</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523,775</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0.51</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10/16/2027</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8/5/2019(12)</w:t>
            </w:r>
          </w:p>
        </w:tc>
        <w:tc>
          <w:tcPr>
            <w:tcW w:w="146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181,912</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141,488</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1.21</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8/4/2029</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8/18/2020(12)</w:t>
            </w:r>
          </w:p>
        </w:tc>
        <w:tc>
          <w:tcPr>
            <w:tcW w:w="146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37,804</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75,609</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1.22</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8/17/2030</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7/15/2021(10)</w:t>
            </w:r>
          </w:p>
        </w:tc>
        <w:tc>
          <w:tcPr>
            <w:tcW w:w="146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30,937</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464,063</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5.81</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7/14/2031</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10/18/2021(11)</w:t>
            </w:r>
          </w:p>
        </w:tc>
        <w:tc>
          <w:tcPr>
            <w:tcW w:w="146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116,016</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228,552</w:t>
            </w:r>
          </w:p>
        </w:tc>
      </w:tr>
      <w:tr>
        <w:trPr>
          <w:trHeight w:val="169"/>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John C. Reilly</w:t>
            </w: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8/5/2019(13)</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36,380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28,299</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8/4/2029</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8/18/2020(12)</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18,902</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37,804</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8/17/2030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7/15/2021(10)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15,468</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232,032</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5.81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7/14/2031</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10/18/2021(11)</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58,008</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114,276</w:t>
            </w:r>
          </w:p>
        </w:tc>
      </w:tr>
      <w:tr>
        <w:trPr>
          <w:trHeight w:val="169"/>
        </w:trPr>
        <w:tc>
          <w:tcPr>
            <w:tcW w:w="1740" w:type="dxa"/>
            <w:vAlign w:val="bottom"/>
            <w:tcBorders>
              <w:left w:val="single" w:sz="8" w:color="auto"/>
              <w:bottom w:val="single" w:sz="8" w:color="auto"/>
              <w:right w:val="single" w:sz="8" w:color="auto"/>
            </w:tcBorders>
            <w:shd w:val="clear" w:color="auto" w:fill="D1F6FF"/>
          </w:tcPr>
          <w:p>
            <w:pPr>
              <w:ind w:left="60"/>
              <w:spacing w:after="0"/>
              <w:rPr>
                <w:sz w:val="20"/>
                <w:szCs w:val="20"/>
                <w:color w:val="auto"/>
              </w:rPr>
            </w:pPr>
            <w:r>
              <w:rPr>
                <w:rFonts w:ascii="Arial" w:cs="Arial" w:eastAsia="Arial" w:hAnsi="Arial"/>
                <w:sz w:val="13"/>
                <w:szCs w:val="13"/>
                <w:color w:val="auto"/>
              </w:rPr>
              <w:t>Roni Frank</w:t>
            </w: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1/15/2016(2)</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628,399</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0.23</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6/1/2024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9/1/2016(2)</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571,810</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0.39</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6/1/2024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10/17/2017(2)</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834,144</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0.51</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6/1/2024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8/5/2019(3)</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646,802</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1.21</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6/1/2024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tcBorders>
              <w:left w:val="single" w:sz="8" w:color="auto"/>
              <w:bottom w:val="single" w:sz="8" w:color="auto"/>
              <w:right w:val="single" w:sz="8" w:color="auto"/>
            </w:tcBorders>
            <w:shd w:val="clear" w:color="auto" w:fill="D1F6FF"/>
          </w:tcPr>
          <w:p>
            <w:pPr>
              <w:spacing w:after="0"/>
              <w:rPr>
                <w:sz w:val="14"/>
                <w:szCs w:val="14"/>
                <w:color w:val="auto"/>
              </w:rPr>
            </w:pPr>
          </w:p>
        </w:tc>
        <w:tc>
          <w:tcPr>
            <w:tcW w:w="1320" w:type="dxa"/>
            <w:vAlign w:val="bottom"/>
            <w:tcBorders>
              <w:bottom w:val="single" w:sz="8" w:color="auto"/>
              <w:right w:val="single" w:sz="8" w:color="auto"/>
            </w:tcBorders>
            <w:shd w:val="clear" w:color="auto" w:fill="D1F6FF"/>
          </w:tcPr>
          <w:p>
            <w:pPr>
              <w:spacing w:after="0"/>
              <w:rPr>
                <w:sz w:val="20"/>
                <w:szCs w:val="20"/>
                <w:color w:val="auto"/>
              </w:rPr>
            </w:pPr>
            <w:r>
              <w:rPr>
                <w:rFonts w:ascii="Arial" w:cs="Arial" w:eastAsia="Arial" w:hAnsi="Arial"/>
                <w:sz w:val="13"/>
                <w:szCs w:val="13"/>
                <w:color w:val="auto"/>
              </w:rPr>
              <w:t>8/18/2020(3)</w:t>
            </w:r>
          </w:p>
        </w:tc>
        <w:tc>
          <w:tcPr>
            <w:tcW w:w="1460" w:type="dxa"/>
            <w:vAlign w:val="bottom"/>
            <w:tcBorders>
              <w:bottom w:val="single" w:sz="8" w:color="auto"/>
              <w:right w:val="single" w:sz="8" w:color="auto"/>
            </w:tcBorders>
            <w:shd w:val="clear" w:color="auto" w:fill="D1F6FF"/>
          </w:tcPr>
          <w:p>
            <w:pPr>
              <w:jc w:val="right"/>
              <w:ind w:right="17"/>
              <w:spacing w:after="0"/>
              <w:rPr>
                <w:sz w:val="20"/>
                <w:szCs w:val="20"/>
                <w:color w:val="auto"/>
              </w:rPr>
            </w:pPr>
            <w:r>
              <w:rPr>
                <w:rFonts w:ascii="Arial" w:cs="Arial" w:eastAsia="Arial" w:hAnsi="Arial"/>
                <w:sz w:val="13"/>
                <w:szCs w:val="13"/>
                <w:color w:val="auto"/>
              </w:rPr>
              <w:t>226,827</w:t>
            </w:r>
          </w:p>
        </w:tc>
        <w:tc>
          <w:tcPr>
            <w:tcW w:w="14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1F6FF"/>
          </w:tcPr>
          <w:p>
            <w:pPr>
              <w:spacing w:after="0"/>
              <w:rPr>
                <w:sz w:val="14"/>
                <w:szCs w:val="14"/>
                <w:color w:val="auto"/>
              </w:rPr>
            </w:pPr>
          </w:p>
        </w:tc>
        <w:tc>
          <w:tcPr>
            <w:tcW w:w="9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1.22</w:t>
            </w:r>
          </w:p>
        </w:tc>
        <w:tc>
          <w:tcPr>
            <w:tcW w:w="132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6/1/2024</w:t>
            </w:r>
          </w:p>
        </w:tc>
        <w:tc>
          <w:tcPr>
            <w:tcW w:w="144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shd w:val="clear" w:color="auto" w:fill="D1F6FF"/>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2489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Amounts are calculated based on multiplying the number of shares shown in the table by the per share closing price of our common stock on December 31, 2021, which was $1.97.</w:t>
      </w:r>
    </w:p>
    <w:p>
      <w:pPr>
        <w:spacing w:after="0" w:line="66" w:lineRule="exact"/>
        <w:rPr>
          <w:rFonts w:ascii="Arial" w:cs="Arial" w:eastAsia="Arial" w:hAnsi="Arial"/>
          <w:sz w:val="13"/>
          <w:szCs w:val="13"/>
          <w:color w:val="auto"/>
        </w:rPr>
      </w:pPr>
    </w:p>
    <w:p>
      <w:pPr>
        <w:ind w:left="220" w:hanging="212"/>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These stock options, which were granted under the 2014 Plan, were fully vested and exercisable as of December 31, 2021.</w:t>
      </w:r>
    </w:p>
    <w:p>
      <w:pPr>
        <w:spacing w:after="0" w:line="55" w:lineRule="exact"/>
        <w:rPr>
          <w:rFonts w:ascii="Arial" w:cs="Arial" w:eastAsia="Arial" w:hAnsi="Arial"/>
          <w:sz w:val="14"/>
          <w:szCs w:val="14"/>
          <w:color w:val="auto"/>
        </w:rPr>
      </w:pPr>
    </w:p>
    <w:p>
      <w:pPr>
        <w:ind w:firstLine="8"/>
        <w:spacing w:after="0" w:line="273" w:lineRule="auto"/>
        <w:tabs>
          <w:tab w:leader="none" w:pos="209"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These stock options, which were granted under the 2014 Plan, became fully vested and exercisable on November 21, 2021, in connection with the termination of employment of Oren Frank and Roni Frank, as applicable.</w:t>
      </w:r>
    </w:p>
    <w:p>
      <w:pPr>
        <w:spacing w:after="0" w:line="11" w:lineRule="exact"/>
        <w:rPr>
          <w:rFonts w:ascii="Arial" w:cs="Arial" w:eastAsia="Arial" w:hAnsi="Arial"/>
          <w:sz w:val="14"/>
          <w:szCs w:val="14"/>
          <w:color w:val="auto"/>
        </w:rPr>
      </w:pPr>
    </w:p>
    <w:p>
      <w:pPr>
        <w:ind w:left="220" w:hanging="212"/>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stock option, which was granted under the 2014 Plan, vests and becomes exercisable 25% annually over a four year period of June 22, 2021.</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These stock options, which were granted under the 2014 Plan, ceased vesting on November 22, 2021 in connection with Mark Hirschhorn’s termination of employment.</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stock option, which was granted under the 2021 Plan, ceased vesting on November 22, 2021 in connection with Mark Hirschhorn’s termination of employment.</w:t>
      </w:r>
    </w:p>
    <w:p>
      <w:pPr>
        <w:spacing w:after="0" w:line="55" w:lineRule="exact"/>
        <w:rPr>
          <w:rFonts w:ascii="Arial" w:cs="Arial" w:eastAsia="Arial" w:hAnsi="Arial"/>
          <w:sz w:val="14"/>
          <w:szCs w:val="14"/>
          <w:color w:val="auto"/>
        </w:rPr>
      </w:pPr>
    </w:p>
    <w:p>
      <w:pPr>
        <w:ind w:firstLine="8"/>
        <w:spacing w:after="0" w:line="273" w:lineRule="auto"/>
        <w:tabs>
          <w:tab w:leader="none" w:pos="20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stock option, which was granted under the 2021 Plan, vests and becomes exercisable 25% on the one-year anniversary of July 26, 2021 and 75% in twelve equal installments on each of the first twelve quarterly anniversaries of July 26, 2021 thereafter, subject to the NEO’s continued employment through each such vesting date.</w:t>
      </w:r>
    </w:p>
    <w:p>
      <w:pPr>
        <w:spacing w:after="0" w:line="11" w:lineRule="exact"/>
        <w:rPr>
          <w:rFonts w:ascii="Arial" w:cs="Arial" w:eastAsia="Arial" w:hAnsi="Arial"/>
          <w:sz w:val="14"/>
          <w:szCs w:val="14"/>
          <w:color w:val="auto"/>
        </w:rPr>
      </w:pPr>
    </w:p>
    <w:p>
      <w:pPr>
        <w:ind w:firstLine="8"/>
        <w:spacing w:after="0" w:line="273" w:lineRule="auto"/>
        <w:tabs>
          <w:tab w:leader="none" w:pos="217"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RSU award, which was granted under the 2021 Plan, vests 25% on the one-year anniversary of September 1, 2021 and 75% in twelve equal installments on each of the first twelve quarterly anniversaries of September 1, 2021 thereafter, subject to the NEO’s continued employment through each such vesting date.</w:t>
      </w:r>
    </w:p>
    <w:p>
      <w:pPr>
        <w:spacing w:after="0" w:line="11" w:lineRule="exact"/>
        <w:rPr>
          <w:rFonts w:ascii="Arial" w:cs="Arial" w:eastAsia="Arial" w:hAnsi="Arial"/>
          <w:sz w:val="14"/>
          <w:szCs w:val="14"/>
          <w:color w:val="auto"/>
        </w:rPr>
      </w:pPr>
    </w:p>
    <w:p>
      <w:pPr>
        <w:ind w:firstLine="8"/>
        <w:spacing w:after="0" w:line="273" w:lineRule="auto"/>
        <w:tabs>
          <w:tab w:leader="none" w:pos="209"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stock option, which was granted under the 2014 Plan, vests and becomes exercisable over a four-year period with respect to 1/48th of the shares underlying the option on each monthly anniversary of December 4, 2020 thereafter, subject to the NEO’s continued employment through each such vesting date.</w:t>
      </w:r>
    </w:p>
    <w:p>
      <w:pPr>
        <w:spacing w:after="0" w:line="11" w:lineRule="exact"/>
        <w:rPr>
          <w:rFonts w:ascii="Arial" w:cs="Arial" w:eastAsia="Arial" w:hAnsi="Arial"/>
          <w:sz w:val="14"/>
          <w:szCs w:val="14"/>
          <w:color w:val="auto"/>
        </w:rPr>
      </w:pPr>
    </w:p>
    <w:p>
      <w:pPr>
        <w:ind w:firstLine="8"/>
        <w:spacing w:after="0" w:line="256" w:lineRule="auto"/>
        <w:tabs>
          <w:tab w:leader="none" w:pos="287"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These stock options, which were granted under the 2021 Plan, vest in sixteen equal installments on each of the first sixteen quarterly anniversaries of July 1, 2021, subject to the NEO’s continued employment through each such vesting date.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5" w:lineRule="exact"/>
        <w:rPr>
          <w:sz w:val="20"/>
          <w:szCs w:val="20"/>
          <w:color w:val="auto"/>
        </w:rPr>
      </w:pPr>
    </w:p>
    <w:p>
      <w:pPr>
        <w:ind w:right="20" w:firstLine="8"/>
        <w:spacing w:after="0" w:line="273" w:lineRule="auto"/>
        <w:tabs>
          <w:tab w:leader="none" w:pos="271"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These RSU awards, which were granted under the 2021 Plan, vest in sixteen equal installments on each of the first sixteen quarterly anniversaries of September 1, 2021, subject to the NEO’s continued employment through each such vesting date.</w:t>
      </w:r>
    </w:p>
    <w:p>
      <w:pPr>
        <w:spacing w:after="0" w:line="11" w:lineRule="exact"/>
        <w:rPr>
          <w:rFonts w:ascii="Arial" w:cs="Arial" w:eastAsia="Arial" w:hAnsi="Arial"/>
          <w:sz w:val="14"/>
          <w:szCs w:val="14"/>
          <w:color w:val="auto"/>
        </w:rPr>
      </w:pPr>
    </w:p>
    <w:p>
      <w:pPr>
        <w:ind w:firstLine="8"/>
        <w:spacing w:after="0" w:line="303" w:lineRule="auto"/>
        <w:tabs>
          <w:tab w:leader="none" w:pos="276"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These stock options, which were granted under the 2014 Plan, vest and become exercisable over a four-year period with respect to 1/48th of the shares underlying the option on each monthly anniversary of September 1, 2019 for awards granted on August 5, 2019 or August 18, 2020 for awards granted on August 18, 2020, subject to the executive’s continued service.</w:t>
      </w:r>
    </w:p>
    <w:p>
      <w:pPr>
        <w:ind w:firstLine="8"/>
        <w:spacing w:after="0" w:line="273" w:lineRule="auto"/>
        <w:tabs>
          <w:tab w:leader="none" w:pos="27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RSU award, which was granted under the 2021 Plan, vests 25% on the one-year anniversary of September 1, 2019 and 75% in thirty-six equal installments on each of the first thirty-six monthly anniversaries of September 1, 2019 thereafter, subject to the NEO’s continued employment through each such vesting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2021</w:t>
      </w:r>
    </w:p>
    <w:p>
      <w:pPr>
        <w:spacing w:after="0" w:line="220" w:lineRule="exact"/>
        <w:rPr>
          <w:sz w:val="20"/>
          <w:szCs w:val="20"/>
          <w:color w:val="auto"/>
        </w:rPr>
      </w:pPr>
    </w:p>
    <w:tbl>
      <w:tblPr>
        <w:tblLayout w:type="fixed"/>
        <w:tblInd w:w="410" w:type="dxa"/>
        <w:tblCellMar>
          <w:top w:w="0" w:type="dxa"/>
          <w:left w:w="0" w:type="dxa"/>
          <w:bottom w:w="0" w:type="dxa"/>
          <w:right w:w="0" w:type="dxa"/>
        </w:tblCellMar>
      </w:tblPr>
      <w:tr>
        <w:trPr>
          <w:trHeight w:val="203"/>
        </w:trPr>
        <w:tc>
          <w:tcPr>
            <w:tcW w:w="2220" w:type="dxa"/>
            <w:vAlign w:val="bottom"/>
            <w:tcBorders>
              <w:top w:val="single" w:sz="8" w:color="auto"/>
              <w:left w:val="single" w:sz="8" w:color="auto"/>
              <w:right w:val="single" w:sz="8" w:color="auto"/>
            </w:tcBorders>
            <w:shd w:val="clear" w:color="auto" w:fill="D1F6FF"/>
          </w:tcPr>
          <w:p>
            <w:pPr>
              <w:spacing w:after="0"/>
              <w:rPr>
                <w:sz w:val="17"/>
                <w:szCs w:val="17"/>
                <w:color w:val="auto"/>
              </w:rPr>
            </w:pPr>
          </w:p>
        </w:tc>
        <w:tc>
          <w:tcPr>
            <w:tcW w:w="3640" w:type="dxa"/>
            <w:vAlign w:val="bottom"/>
            <w:tcBorders>
              <w:top w:val="single" w:sz="8" w:color="auto"/>
              <w:right w:val="single" w:sz="8" w:color="auto"/>
            </w:tcBorders>
            <w:gridSpan w:val="2"/>
            <w:shd w:val="clear" w:color="auto" w:fill="D1F6FF"/>
          </w:tcPr>
          <w:p>
            <w:pPr>
              <w:jc w:val="right"/>
              <w:ind w:right="1303"/>
              <w:spacing w:after="0"/>
              <w:rPr>
                <w:sz w:val="20"/>
                <w:szCs w:val="20"/>
                <w:color w:val="auto"/>
              </w:rPr>
            </w:pPr>
            <w:r>
              <w:rPr>
                <w:rFonts w:ascii="Arial" w:cs="Arial" w:eastAsia="Arial" w:hAnsi="Arial"/>
                <w:sz w:val="14"/>
                <w:szCs w:val="14"/>
                <w:b w:val="1"/>
                <w:bCs w:val="1"/>
                <w:color w:val="auto"/>
              </w:rPr>
              <w:t>Option Awards</w:t>
            </w:r>
          </w:p>
        </w:tc>
        <w:tc>
          <w:tcPr>
            <w:tcW w:w="4600" w:type="dxa"/>
            <w:vAlign w:val="bottom"/>
            <w:tcBorders>
              <w:top w:val="single" w:sz="8" w:color="auto"/>
              <w:right w:val="single" w:sz="8" w:color="auto"/>
            </w:tcBorders>
            <w:gridSpan w:val="2"/>
            <w:shd w:val="clear" w:color="auto" w:fill="D1F6FF"/>
          </w:tcPr>
          <w:p>
            <w:pPr>
              <w:jc w:val="right"/>
              <w:ind w:right="1824"/>
              <w:spacing w:after="0"/>
              <w:rPr>
                <w:sz w:val="20"/>
                <w:szCs w:val="20"/>
                <w:color w:val="auto"/>
              </w:rPr>
            </w:pPr>
            <w:r>
              <w:rPr>
                <w:rFonts w:ascii="Arial" w:cs="Arial" w:eastAsia="Arial" w:hAnsi="Arial"/>
                <w:sz w:val="14"/>
                <w:szCs w:val="14"/>
                <w:b w:val="1"/>
                <w:bCs w:val="1"/>
                <w:color w:val="auto"/>
              </w:rPr>
              <w:t>Stock Awards</w:t>
            </w:r>
          </w:p>
        </w:tc>
      </w:tr>
      <w:tr>
        <w:trPr>
          <w:trHeight w:val="315"/>
        </w:trPr>
        <w:tc>
          <w:tcPr>
            <w:tcW w:w="2220" w:type="dxa"/>
            <w:vAlign w:val="bottom"/>
            <w:tcBorders>
              <w:left w:val="single" w:sz="8" w:color="auto"/>
              <w:bottom w:val="single" w:sz="8" w:color="auto"/>
              <w:right w:val="single" w:sz="8" w:color="auto"/>
            </w:tcBorders>
            <w:shd w:val="clear" w:color="auto" w:fill="D1F6FF"/>
          </w:tcPr>
          <w:p>
            <w:pPr>
              <w:spacing w:after="0"/>
              <w:rPr>
                <w:sz w:val="24"/>
                <w:szCs w:val="24"/>
                <w:color w:val="auto"/>
              </w:rPr>
            </w:pPr>
          </w:p>
        </w:tc>
        <w:tc>
          <w:tcPr>
            <w:tcW w:w="1840" w:type="dxa"/>
            <w:vAlign w:val="bottom"/>
            <w:tcBorders>
              <w:bottom w:val="single" w:sz="8" w:color="D1F6FF"/>
              <w:right w:val="single" w:sz="8" w:color="D1F6FF"/>
            </w:tcBorders>
            <w:shd w:val="clear" w:color="auto" w:fill="D1F6FF"/>
          </w:tcPr>
          <w:p>
            <w:pPr>
              <w:spacing w:after="0"/>
              <w:rPr>
                <w:sz w:val="24"/>
                <w:szCs w:val="24"/>
                <w:color w:val="auto"/>
              </w:rPr>
            </w:pPr>
          </w:p>
        </w:tc>
        <w:tc>
          <w:tcPr>
            <w:tcW w:w="1800" w:type="dxa"/>
            <w:vAlign w:val="bottom"/>
            <w:tcBorders>
              <w:bottom w:val="single" w:sz="8" w:color="D1F6FF"/>
              <w:right w:val="single" w:sz="8" w:color="auto"/>
            </w:tcBorders>
            <w:shd w:val="clear" w:color="auto" w:fill="D1F6FF"/>
          </w:tcPr>
          <w:p>
            <w:pPr>
              <w:spacing w:after="0"/>
              <w:rPr>
                <w:sz w:val="24"/>
                <w:szCs w:val="24"/>
                <w:color w:val="auto"/>
              </w:rPr>
            </w:pPr>
          </w:p>
        </w:tc>
        <w:tc>
          <w:tcPr>
            <w:tcW w:w="2440" w:type="dxa"/>
            <w:vAlign w:val="bottom"/>
            <w:tcBorders>
              <w:bottom w:val="single" w:sz="8" w:color="D1F6FF"/>
              <w:right w:val="single" w:sz="8" w:color="D1F6FF"/>
            </w:tcBorders>
            <w:shd w:val="clear" w:color="auto" w:fill="D1F6FF"/>
          </w:tcPr>
          <w:p>
            <w:pPr>
              <w:spacing w:after="0"/>
              <w:rPr>
                <w:sz w:val="24"/>
                <w:szCs w:val="24"/>
                <w:color w:val="auto"/>
              </w:rPr>
            </w:pPr>
          </w:p>
        </w:tc>
        <w:tc>
          <w:tcPr>
            <w:tcW w:w="2160" w:type="dxa"/>
            <w:vAlign w:val="bottom"/>
            <w:tcBorders>
              <w:bottom w:val="single" w:sz="8" w:color="D1F6FF"/>
              <w:right w:val="single" w:sz="8" w:color="auto"/>
            </w:tcBorders>
            <w:shd w:val="clear" w:color="auto" w:fill="D1F6FF"/>
          </w:tcPr>
          <w:p>
            <w:pPr>
              <w:spacing w:after="0"/>
              <w:rPr>
                <w:sz w:val="24"/>
                <w:szCs w:val="24"/>
                <w:color w:val="auto"/>
              </w:rPr>
            </w:pPr>
          </w:p>
        </w:tc>
      </w:tr>
      <w:tr>
        <w:trPr>
          <w:trHeight w:val="92"/>
        </w:trPr>
        <w:tc>
          <w:tcPr>
            <w:tcW w:w="2220" w:type="dxa"/>
            <w:vAlign w:val="bottom"/>
            <w:tcBorders>
              <w:top w:val="single" w:sz="8" w:color="auto"/>
              <w:left w:val="single" w:sz="8" w:color="auto"/>
              <w:right w:val="single" w:sz="8" w:color="auto"/>
            </w:tcBorders>
            <w:shd w:val="clear" w:color="auto" w:fill="D1F6FF"/>
          </w:tcPr>
          <w:p>
            <w:pPr>
              <w:ind w:left="900"/>
              <w:spacing w:after="0" w:line="92" w:lineRule="exact"/>
              <w:rPr>
                <w:sz w:val="20"/>
                <w:szCs w:val="20"/>
                <w:color w:val="auto"/>
              </w:rPr>
            </w:pPr>
            <w:r>
              <w:rPr>
                <w:rFonts w:ascii="Arial" w:cs="Arial" w:eastAsia="Arial" w:hAnsi="Arial"/>
                <w:sz w:val="10"/>
                <w:szCs w:val="10"/>
                <w:b w:val="1"/>
                <w:bCs w:val="1"/>
                <w:color w:val="auto"/>
              </w:rPr>
              <w:t>Name</w:t>
            </w:r>
          </w:p>
        </w:tc>
        <w:tc>
          <w:tcPr>
            <w:tcW w:w="1840" w:type="dxa"/>
            <w:vAlign w:val="bottom"/>
            <w:tcBorders>
              <w:top w:val="single" w:sz="8" w:color="auto"/>
              <w:right w:val="single" w:sz="8" w:color="auto"/>
            </w:tcBorders>
            <w:shd w:val="clear" w:color="auto" w:fill="D1F6FF"/>
          </w:tcPr>
          <w:p>
            <w:pPr>
              <w:jc w:val="right"/>
              <w:ind w:right="43"/>
              <w:spacing w:after="0" w:line="92" w:lineRule="exact"/>
              <w:rPr>
                <w:sz w:val="20"/>
                <w:szCs w:val="20"/>
                <w:color w:val="auto"/>
              </w:rPr>
            </w:pPr>
            <w:r>
              <w:rPr>
                <w:rFonts w:ascii="Arial" w:cs="Arial" w:eastAsia="Arial" w:hAnsi="Arial"/>
                <w:sz w:val="10"/>
                <w:szCs w:val="10"/>
                <w:b w:val="1"/>
                <w:bCs w:val="1"/>
                <w:color w:val="auto"/>
              </w:rPr>
              <w:t>Number of Shares Acquired</w:t>
            </w:r>
          </w:p>
        </w:tc>
        <w:tc>
          <w:tcPr>
            <w:tcW w:w="1800" w:type="dxa"/>
            <w:vAlign w:val="bottom"/>
            <w:tcBorders>
              <w:top w:val="single" w:sz="8" w:color="auto"/>
              <w:right w:val="single" w:sz="8" w:color="auto"/>
            </w:tcBorders>
            <w:shd w:val="clear" w:color="auto" w:fill="D1F6FF"/>
          </w:tcPr>
          <w:p>
            <w:pPr>
              <w:jc w:val="right"/>
              <w:ind w:right="23"/>
              <w:spacing w:after="0" w:line="92" w:lineRule="exact"/>
              <w:rPr>
                <w:sz w:val="20"/>
                <w:szCs w:val="20"/>
                <w:color w:val="auto"/>
              </w:rPr>
            </w:pPr>
            <w:r>
              <w:rPr>
                <w:rFonts w:ascii="Arial" w:cs="Arial" w:eastAsia="Arial" w:hAnsi="Arial"/>
                <w:sz w:val="10"/>
                <w:szCs w:val="10"/>
                <w:b w:val="1"/>
                <w:bCs w:val="1"/>
                <w:color w:val="auto"/>
              </w:rPr>
              <w:t>Value Realized on Exercise</w:t>
            </w:r>
          </w:p>
        </w:tc>
        <w:tc>
          <w:tcPr>
            <w:tcW w:w="2440" w:type="dxa"/>
            <w:vAlign w:val="bottom"/>
            <w:tcBorders>
              <w:top w:val="single" w:sz="8" w:color="auto"/>
              <w:right w:val="single" w:sz="8" w:color="auto"/>
            </w:tcBorders>
            <w:shd w:val="clear" w:color="auto" w:fill="D1F6FF"/>
          </w:tcPr>
          <w:p>
            <w:pPr>
              <w:jc w:val="right"/>
              <w:ind w:right="223"/>
              <w:spacing w:after="0" w:line="92" w:lineRule="exact"/>
              <w:rPr>
                <w:sz w:val="20"/>
                <w:szCs w:val="20"/>
                <w:color w:val="auto"/>
              </w:rPr>
            </w:pPr>
            <w:r>
              <w:rPr>
                <w:rFonts w:ascii="Arial" w:cs="Arial" w:eastAsia="Arial" w:hAnsi="Arial"/>
                <w:sz w:val="10"/>
                <w:szCs w:val="10"/>
                <w:b w:val="1"/>
                <w:bCs w:val="1"/>
                <w:color w:val="auto"/>
              </w:rPr>
              <w:t>Number of Shares Acquired on</w:t>
            </w:r>
          </w:p>
        </w:tc>
        <w:tc>
          <w:tcPr>
            <w:tcW w:w="2160" w:type="dxa"/>
            <w:vAlign w:val="bottom"/>
            <w:tcBorders>
              <w:top w:val="single" w:sz="8" w:color="auto"/>
              <w:right w:val="single" w:sz="8" w:color="auto"/>
            </w:tcBorders>
            <w:shd w:val="clear" w:color="auto" w:fill="D1F6FF"/>
          </w:tcPr>
          <w:p>
            <w:pPr>
              <w:jc w:val="right"/>
              <w:ind w:right="104"/>
              <w:spacing w:after="0" w:line="92" w:lineRule="exact"/>
              <w:rPr>
                <w:sz w:val="20"/>
                <w:szCs w:val="20"/>
                <w:color w:val="auto"/>
              </w:rPr>
            </w:pPr>
            <w:r>
              <w:rPr>
                <w:rFonts w:ascii="Arial" w:cs="Arial" w:eastAsia="Arial" w:hAnsi="Arial"/>
                <w:sz w:val="8"/>
                <w:szCs w:val="8"/>
                <w:b w:val="1"/>
                <w:bCs w:val="1"/>
                <w:color w:val="auto"/>
              </w:rPr>
              <w:t>Value Realized on Vesting ($)</w:t>
            </w:r>
            <w:r>
              <w:rPr>
                <w:rFonts w:ascii="Arial" w:cs="Arial" w:eastAsia="Arial" w:hAnsi="Arial"/>
                <w:sz w:val="10"/>
                <w:szCs w:val="10"/>
                <w:b w:val="1"/>
                <w:bCs w:val="1"/>
                <w:color w:val="auto"/>
                <w:vertAlign w:val="superscript"/>
              </w:rPr>
              <w:t>(2)</w:t>
            </w:r>
          </w:p>
        </w:tc>
      </w:tr>
      <w:tr>
        <w:trPr>
          <w:trHeight w:val="206"/>
        </w:trPr>
        <w:tc>
          <w:tcPr>
            <w:tcW w:w="2220" w:type="dxa"/>
            <w:vAlign w:val="bottom"/>
            <w:tcBorders>
              <w:left w:val="single" w:sz="8" w:color="auto"/>
              <w:bottom w:val="single" w:sz="8" w:color="auto"/>
              <w:right w:val="single" w:sz="8" w:color="auto"/>
            </w:tcBorders>
            <w:shd w:val="clear" w:color="auto" w:fill="D1F6FF"/>
          </w:tcPr>
          <w:p>
            <w:pPr>
              <w:spacing w:after="0"/>
              <w:rPr>
                <w:sz w:val="17"/>
                <w:szCs w:val="17"/>
                <w:color w:val="auto"/>
              </w:rPr>
            </w:pPr>
          </w:p>
        </w:tc>
        <w:tc>
          <w:tcPr>
            <w:tcW w:w="1840" w:type="dxa"/>
            <w:vAlign w:val="bottom"/>
            <w:tcBorders>
              <w:bottom w:val="single" w:sz="8" w:color="auto"/>
              <w:right w:val="single" w:sz="8" w:color="auto"/>
            </w:tcBorders>
            <w:shd w:val="clear" w:color="auto" w:fill="D1F6FF"/>
          </w:tcPr>
          <w:p>
            <w:pPr>
              <w:jc w:val="right"/>
              <w:ind w:right="423"/>
              <w:spacing w:after="0"/>
              <w:rPr>
                <w:sz w:val="20"/>
                <w:szCs w:val="20"/>
                <w:color w:val="auto"/>
              </w:rPr>
            </w:pPr>
            <w:r>
              <w:rPr>
                <w:rFonts w:ascii="Arial" w:cs="Arial" w:eastAsia="Arial" w:hAnsi="Arial"/>
                <w:sz w:val="14"/>
                <w:szCs w:val="14"/>
                <w:b w:val="1"/>
                <w:bCs w:val="1"/>
                <w:color w:val="auto"/>
              </w:rPr>
              <w:t>on Exercise (#)</w:t>
            </w:r>
          </w:p>
        </w:tc>
        <w:tc>
          <w:tcPr>
            <w:tcW w:w="1800" w:type="dxa"/>
            <w:vAlign w:val="bottom"/>
            <w:tcBorders>
              <w:bottom w:val="single" w:sz="8" w:color="auto"/>
              <w:right w:val="single" w:sz="8" w:color="auto"/>
            </w:tcBorders>
            <w:shd w:val="clear" w:color="auto" w:fill="D1F6FF"/>
          </w:tcPr>
          <w:p>
            <w:pPr>
              <w:jc w:val="right"/>
              <w:ind w:right="703"/>
              <w:spacing w:after="0" w:line="18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9"/>
                <w:szCs w:val="19"/>
                <w:b w:val="1"/>
                <w:bCs w:val="1"/>
                <w:color w:val="auto"/>
                <w:vertAlign w:val="superscript"/>
              </w:rPr>
              <w:t>(1)</w:t>
            </w:r>
          </w:p>
        </w:tc>
        <w:tc>
          <w:tcPr>
            <w:tcW w:w="2440" w:type="dxa"/>
            <w:vAlign w:val="bottom"/>
            <w:tcBorders>
              <w:bottom w:val="single" w:sz="8" w:color="auto"/>
              <w:right w:val="single" w:sz="8" w:color="auto"/>
            </w:tcBorders>
            <w:shd w:val="clear" w:color="auto" w:fill="D1F6FF"/>
          </w:tcPr>
          <w:p>
            <w:pPr>
              <w:jc w:val="right"/>
              <w:ind w:right="843"/>
              <w:spacing w:after="0"/>
              <w:rPr>
                <w:sz w:val="20"/>
                <w:szCs w:val="20"/>
                <w:color w:val="auto"/>
              </w:rPr>
            </w:pPr>
            <w:r>
              <w:rPr>
                <w:rFonts w:ascii="Arial" w:cs="Arial" w:eastAsia="Arial" w:hAnsi="Arial"/>
                <w:sz w:val="14"/>
                <w:szCs w:val="14"/>
                <w:b w:val="1"/>
                <w:bCs w:val="1"/>
                <w:color w:val="auto"/>
              </w:rPr>
              <w:t>Vesting (#)</w:t>
            </w:r>
          </w:p>
        </w:tc>
        <w:tc>
          <w:tcPr>
            <w:tcW w:w="2160" w:type="dxa"/>
            <w:vAlign w:val="bottom"/>
            <w:tcBorders>
              <w:bottom w:val="single" w:sz="8" w:color="auto"/>
              <w:right w:val="single" w:sz="8" w:color="auto"/>
            </w:tcBorders>
            <w:shd w:val="clear" w:color="auto" w:fill="D1F6FF"/>
          </w:tcPr>
          <w:p>
            <w:pPr>
              <w:spacing w:after="0"/>
              <w:rPr>
                <w:sz w:val="17"/>
                <w:szCs w:val="17"/>
                <w:color w:val="auto"/>
              </w:rPr>
            </w:pPr>
          </w:p>
        </w:tc>
      </w:tr>
      <w:tr>
        <w:trPr>
          <w:trHeight w:val="187"/>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Douglas L. Braunstein</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160" w:type="dxa"/>
            <w:vAlign w:val="bottom"/>
            <w:tcBorders>
              <w:right w:val="single" w:sz="8" w:color="auto"/>
            </w:tcBorders>
          </w:tcPr>
          <w:p>
            <w:pPr>
              <w:jc w:val="right"/>
              <w:ind w:right="4"/>
              <w:spacing w:after="0"/>
              <w:rPr>
                <w:sz w:val="20"/>
                <w:szCs w:val="20"/>
                <w:color w:val="auto"/>
              </w:rPr>
            </w:pPr>
            <w:r>
              <w:rPr>
                <w:rFonts w:ascii="Arial" w:cs="Arial" w:eastAsia="Arial" w:hAnsi="Arial"/>
                <w:sz w:val="16"/>
                <w:szCs w:val="16"/>
                <w:color w:val="auto"/>
              </w:rPr>
              <w:t>-</w:t>
            </w:r>
          </w:p>
        </w:tc>
      </w:tr>
      <w:tr>
        <w:trPr>
          <w:trHeight w:val="104"/>
        </w:trPr>
        <w:tc>
          <w:tcPr>
            <w:tcW w:w="2220" w:type="dxa"/>
            <w:vAlign w:val="bottom"/>
            <w:tcBorders>
              <w:left w:val="single" w:sz="8" w:color="auto"/>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r>
      <w:tr>
        <w:trPr>
          <w:trHeight w:val="187"/>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Oren Frank</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453,124</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3,756,398</w:t>
            </w:r>
          </w:p>
        </w:tc>
        <w:tc>
          <w:tcPr>
            <w:tcW w:w="24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270,700</w:t>
            </w:r>
          </w:p>
        </w:tc>
        <w:tc>
          <w:tcPr>
            <w:tcW w:w="2160" w:type="dxa"/>
            <w:vAlign w:val="bottom"/>
            <w:tcBorders>
              <w:right w:val="single" w:sz="8" w:color="auto"/>
            </w:tcBorders>
          </w:tcPr>
          <w:p>
            <w:pPr>
              <w:jc w:val="right"/>
              <w:ind w:right="4"/>
              <w:spacing w:after="0"/>
              <w:rPr>
                <w:sz w:val="20"/>
                <w:szCs w:val="20"/>
                <w:color w:val="auto"/>
              </w:rPr>
            </w:pPr>
            <w:r>
              <w:rPr>
                <w:rFonts w:ascii="Arial" w:cs="Arial" w:eastAsia="Arial" w:hAnsi="Arial"/>
                <w:sz w:val="16"/>
                <w:szCs w:val="16"/>
                <w:color w:val="auto"/>
              </w:rPr>
              <w:t>576,591</w:t>
            </w:r>
          </w:p>
        </w:tc>
      </w:tr>
      <w:tr>
        <w:trPr>
          <w:trHeight w:val="100"/>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204"/>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Jennifer Fulk</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160" w:type="dxa"/>
            <w:vAlign w:val="bottom"/>
            <w:tcBorders>
              <w:right w:val="single" w:sz="8" w:color="auto"/>
            </w:tcBorders>
          </w:tcPr>
          <w:p>
            <w:pPr>
              <w:jc w:val="right"/>
              <w:ind w:right="4"/>
              <w:spacing w:after="0"/>
              <w:rPr>
                <w:sz w:val="20"/>
                <w:szCs w:val="20"/>
                <w:color w:val="auto"/>
              </w:rPr>
            </w:pPr>
            <w:r>
              <w:rPr>
                <w:rFonts w:ascii="Arial" w:cs="Arial" w:eastAsia="Arial" w:hAnsi="Arial"/>
                <w:sz w:val="16"/>
                <w:szCs w:val="16"/>
                <w:color w:val="auto"/>
              </w:rPr>
              <w:t>-</w:t>
            </w:r>
          </w:p>
        </w:tc>
      </w:tr>
      <w:tr>
        <w:trPr>
          <w:trHeight w:val="100"/>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204"/>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Mark Hirschhorn</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856,802</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5,435,316</w:t>
            </w:r>
          </w:p>
        </w:tc>
        <w:tc>
          <w:tcPr>
            <w:tcW w:w="24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160" w:type="dxa"/>
            <w:vAlign w:val="bottom"/>
            <w:tcBorders>
              <w:right w:val="single" w:sz="8" w:color="auto"/>
            </w:tcBorders>
          </w:tcPr>
          <w:p>
            <w:pPr>
              <w:jc w:val="right"/>
              <w:ind w:right="4"/>
              <w:spacing w:after="0"/>
              <w:rPr>
                <w:sz w:val="20"/>
                <w:szCs w:val="20"/>
                <w:color w:val="auto"/>
              </w:rPr>
            </w:pPr>
            <w:r>
              <w:rPr>
                <w:rFonts w:ascii="Arial" w:cs="Arial" w:eastAsia="Arial" w:hAnsi="Arial"/>
                <w:sz w:val="16"/>
                <w:szCs w:val="16"/>
                <w:color w:val="auto"/>
              </w:rPr>
              <w:t>-</w:t>
            </w:r>
          </w:p>
        </w:tc>
      </w:tr>
      <w:tr>
        <w:trPr>
          <w:trHeight w:val="100"/>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204"/>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Samara H. Braunstein</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10,153</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12,996</w:t>
            </w:r>
          </w:p>
        </w:tc>
        <w:tc>
          <w:tcPr>
            <w:tcW w:w="24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7,734</w:t>
            </w:r>
          </w:p>
        </w:tc>
        <w:tc>
          <w:tcPr>
            <w:tcW w:w="2160" w:type="dxa"/>
            <w:vAlign w:val="bottom"/>
            <w:tcBorders>
              <w:right w:val="single" w:sz="8" w:color="auto"/>
            </w:tcBorders>
          </w:tcPr>
          <w:p>
            <w:pPr>
              <w:jc w:val="right"/>
              <w:ind w:right="4"/>
              <w:spacing w:after="0"/>
              <w:rPr>
                <w:sz w:val="20"/>
                <w:szCs w:val="20"/>
                <w:color w:val="auto"/>
              </w:rPr>
            </w:pPr>
            <w:r>
              <w:rPr>
                <w:rFonts w:ascii="Arial" w:cs="Arial" w:eastAsia="Arial" w:hAnsi="Arial"/>
                <w:sz w:val="16"/>
                <w:szCs w:val="16"/>
                <w:color w:val="auto"/>
              </w:rPr>
              <w:t>16,473</w:t>
            </w:r>
          </w:p>
        </w:tc>
      </w:tr>
      <w:tr>
        <w:trPr>
          <w:trHeight w:val="100"/>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203"/>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Gil Margolin</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306,904</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2,584,132</w:t>
            </w:r>
          </w:p>
        </w:tc>
        <w:tc>
          <w:tcPr>
            <w:tcW w:w="24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7,734</w:t>
            </w:r>
          </w:p>
        </w:tc>
        <w:tc>
          <w:tcPr>
            <w:tcW w:w="2160" w:type="dxa"/>
            <w:vAlign w:val="bottom"/>
            <w:tcBorders>
              <w:right w:val="single" w:sz="8" w:color="auto"/>
            </w:tcBorders>
          </w:tcPr>
          <w:p>
            <w:pPr>
              <w:jc w:val="right"/>
              <w:ind w:right="4"/>
              <w:spacing w:after="0"/>
              <w:rPr>
                <w:sz w:val="20"/>
                <w:szCs w:val="20"/>
                <w:color w:val="auto"/>
              </w:rPr>
            </w:pPr>
            <w:r>
              <w:rPr>
                <w:rFonts w:ascii="Arial" w:cs="Arial" w:eastAsia="Arial" w:hAnsi="Arial"/>
                <w:sz w:val="16"/>
                <w:szCs w:val="16"/>
                <w:color w:val="auto"/>
              </w:rPr>
              <w:t>16,473</w:t>
            </w:r>
          </w:p>
        </w:tc>
      </w:tr>
      <w:tr>
        <w:trPr>
          <w:trHeight w:val="101"/>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203"/>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John C. Reilly</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92,792</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314,429</w:t>
            </w:r>
          </w:p>
        </w:tc>
        <w:tc>
          <w:tcPr>
            <w:tcW w:w="24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3,867</w:t>
            </w:r>
          </w:p>
        </w:tc>
        <w:tc>
          <w:tcPr>
            <w:tcW w:w="2160" w:type="dxa"/>
            <w:vAlign w:val="bottom"/>
            <w:tcBorders>
              <w:right w:val="single" w:sz="8" w:color="auto"/>
            </w:tcBorders>
          </w:tcPr>
          <w:p>
            <w:pPr>
              <w:jc w:val="right"/>
              <w:ind w:right="4"/>
              <w:spacing w:after="0"/>
              <w:rPr>
                <w:sz w:val="20"/>
                <w:szCs w:val="20"/>
                <w:color w:val="auto"/>
              </w:rPr>
            </w:pPr>
            <w:r>
              <w:rPr>
                <w:rFonts w:ascii="Arial" w:cs="Arial" w:eastAsia="Arial" w:hAnsi="Arial"/>
                <w:sz w:val="16"/>
                <w:szCs w:val="16"/>
                <w:color w:val="auto"/>
              </w:rPr>
              <w:t>8,237</w:t>
            </w:r>
          </w:p>
        </w:tc>
      </w:tr>
      <w:tr>
        <w:trPr>
          <w:trHeight w:val="100"/>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204"/>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Roni Frank</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453,124</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3,756,398</w:t>
            </w:r>
          </w:p>
        </w:tc>
        <w:tc>
          <w:tcPr>
            <w:tcW w:w="24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77,344</w:t>
            </w:r>
          </w:p>
        </w:tc>
        <w:tc>
          <w:tcPr>
            <w:tcW w:w="2160" w:type="dxa"/>
            <w:vAlign w:val="bottom"/>
            <w:tcBorders>
              <w:right w:val="single" w:sz="8" w:color="auto"/>
            </w:tcBorders>
          </w:tcPr>
          <w:p>
            <w:pPr>
              <w:jc w:val="right"/>
              <w:ind w:right="4"/>
              <w:spacing w:after="0"/>
              <w:rPr>
                <w:sz w:val="20"/>
                <w:szCs w:val="20"/>
                <w:color w:val="auto"/>
              </w:rPr>
            </w:pPr>
            <w:r>
              <w:rPr>
                <w:rFonts w:ascii="Arial" w:cs="Arial" w:eastAsia="Arial" w:hAnsi="Arial"/>
                <w:sz w:val="16"/>
                <w:szCs w:val="16"/>
                <w:color w:val="auto"/>
              </w:rPr>
              <w:t>164,743</w:t>
            </w:r>
          </w:p>
        </w:tc>
      </w:tr>
      <w:tr>
        <w:trPr>
          <w:trHeight w:val="100"/>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-1645285</wp:posOffset>
            </wp:positionV>
            <wp:extent cx="6626225" cy="16459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626225" cy="1645920"/>
                    </a:xfrm>
                    <a:prstGeom prst="rect">
                      <a:avLst/>
                    </a:prstGeom>
                    <a:noFill/>
                  </pic:spPr>
                </pic:pic>
              </a:graphicData>
            </a:graphic>
          </wp:anchor>
        </w:drawing>
      </w:r>
    </w:p>
    <w:p>
      <w:pPr>
        <w:spacing w:after="0" w:line="21" w:lineRule="exact"/>
        <w:rPr>
          <w:sz w:val="20"/>
          <w:szCs w:val="20"/>
          <w:color w:val="auto"/>
        </w:rPr>
      </w:pPr>
    </w:p>
    <w:p>
      <w:pPr>
        <w:ind w:left="700" w:right="2480" w:hanging="183"/>
        <w:spacing w:after="0" w:line="274" w:lineRule="auto"/>
        <w:tabs>
          <w:tab w:leader="none" w:pos="725" w:val="left"/>
        </w:tabs>
        <w:numPr>
          <w:ilvl w:val="0"/>
          <w:numId w:val="57"/>
        </w:numPr>
        <w:rPr>
          <w:rFonts w:ascii="Arial" w:cs="Arial" w:eastAsia="Arial" w:hAnsi="Arial"/>
          <w:sz w:val="15"/>
          <w:szCs w:val="15"/>
          <w:color w:val="auto"/>
        </w:rPr>
      </w:pPr>
      <w:r>
        <w:rPr>
          <w:rFonts w:ascii="Arial" w:cs="Arial" w:eastAsia="Arial" w:hAnsi="Arial"/>
          <w:sz w:val="15"/>
          <w:szCs w:val="15"/>
          <w:color w:val="auto"/>
        </w:rPr>
        <w:t>Amounts are calculated by multiplying the number of shares as to which the option was exercised by the market price of the shares on the exercise date, net of the exercise price.</w:t>
      </w:r>
    </w:p>
    <w:p>
      <w:pPr>
        <w:spacing w:after="0" w:line="11" w:lineRule="exact"/>
        <w:rPr>
          <w:rFonts w:ascii="Arial" w:cs="Arial" w:eastAsia="Arial" w:hAnsi="Arial"/>
          <w:sz w:val="15"/>
          <w:szCs w:val="15"/>
          <w:color w:val="auto"/>
        </w:rPr>
      </w:pPr>
    </w:p>
    <w:p>
      <w:pPr>
        <w:ind w:left="740" w:hanging="223"/>
        <w:spacing w:after="0"/>
        <w:tabs>
          <w:tab w:leader="none" w:pos="7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Amounts are calculated by multiplying the number of shares vested by our closing stock price on the vesting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All of our NEOs other than Mr. Braunstein are (or, in the case of, Messrs. Frank and Hirschhorn and Ms. Frank, were, prior to their terminations) participants in the Executive Severance Plan, which provides for payments and benefits upon a participant’s termination without cause or resignation with good reason. The Executive Severance Plan is administered by our Compensation Committee.</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Participants in the Executive Severance Plan are designated as either Tier 1 or Tier 2 participants at the time they are selected to participate, but the Chief Executive Officer, Chief Operating Officer, and Chief Financial Officer always will be Tier 1 participants.</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Pursuant to the terms of the Executive Severance Plan, in the event a participant is terminated without “cause” or resigns for “good reason” (each, as defined in the Executive Severance Plan), in each case, other than on or within the period beginning three months prior to a change in control and ending 12 months following a change in control, the participant will be eligible to receive: (i) salary continuation for 12 months, in the case of Tier 1 participants, or 6 months, in the case of Tier 2 participants; and (ii) payment or reimbursement of COBRA premiums for up to 12 months, in the case of Tier 1 participants, or 6 months, in the case of Tier 2 participants.</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in the event a participant in the Executive Severance Plan is terminated without cause or resigns for good reason, in each case, on or within the period beginning 3 months prior to a change in control and ending 12 months following a change in control, the participant will be eligible to receive: (i) salary continuation for 24 months plus 200% of the participant’s target bonus amount, in the case of a Tier 1 participant, or salary continuation for 12 months plus 100% of the participant’s target bonus amount, in the case of a Tier 2 participant; (ii) a lump sum cash payment equal to the participant’s pro-rata target bonus amount;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ind w:firstLine="8"/>
        <w:spacing w:after="0" w:line="24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or reimbursement of COBRA premiums for up to 18 months, in the case of a Tier 1 participant, or 12 months, in the case of a Tier 2 participant; and (iii) full accelerated vesting of all equity awards.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severance payments and benefits under the Executive Severance Plan are subject to the participant’s execution of a release of claims against us and continued compliance with certain restrictive covenants. The Executive Severance Plan also includes a Section 280G “best pay” provision, which provides that if any amount received by a participant pursuant to the Executive Severance Plan that would be subject to the excise tax imposed by Section 4999 of the Code, the participant would receive the full amount of the payments and benefits or an amount reduced so that no portion would be subject to the excise tax, whichever would result in the largest payment to the participant on an after-tax basis.</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Plans</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Certain stock options granted under the 2014 Plan in August 2019 to Mr. Margolin and Mr. Reilly and in August 2020 to Mr. Margolin originally provided for 25% of the option to vest and become exercisable upon the executive’s termination without cause, or if the Company completed a deemed liquidation event or an initial public offering of its common stock. These options also originally provided that they would vest and become exercisable in full upon the executive’s termination without cause within 12 months following (i) a deemed liquidation event or (ii) an initial public offering of the Company’s common stock. In connection with the Business Combination, the Company entered into a waiver agreement with each of the named executive officers under which each named executive officer waived his right to the 25% accelerated vesting upon a deemed liquidation event.</w:t>
      </w:r>
    </w:p>
    <w:p>
      <w:pPr>
        <w:spacing w:after="0" w:line="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Under 2021 Plan, in the event of a change in control where any outstanding awards under the 2021 Plan are not substituted or assumed, such awards will become fully vested, exercisable, and/or payable in connection with the change in control.</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Estimated Potential Payments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following table summarizes the payments that would be made to our NEOs upon the occurrence of certain qualifying terminations of employment or a change in control, in any case, occurring on December 31, 2021 (or, in the cases of Messrs. Frank and Hirschhorn and Ms. Frank, the actual amounts owed in connection with their terminations during 2021, which in the case of Mr. and Ms. Frank, were determined pursuant to the terms of the Separation Agreements). Amounts shown do not include (i) accrued but unpaid base salary through the date of termination or (ii) other benefits earned or accrued by the NEO during his or her employment that are available to all salaried employees, such as accrued vacation.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38100</wp:posOffset>
            </wp:positionV>
            <wp:extent cx="59690" cy="2825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9690" cy="28257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38100</wp:posOffset>
            </wp:positionV>
            <wp:extent cx="50800" cy="2825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0800" cy="28257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38100</wp:posOffset>
            </wp:positionV>
            <wp:extent cx="51435" cy="2825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282575"/>
                    </a:xfrm>
                    <a:prstGeom prst="rect">
                      <a:avLst/>
                    </a:prstGeom>
                    <a:noFill/>
                  </pic:spPr>
                </pic:pic>
              </a:graphicData>
            </a:graphic>
          </wp:anchor>
        </w:drawing>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2380" w:type="dxa"/>
            <w:vAlign w:val="bottom"/>
            <w:tcBorders>
              <w:top w:val="single" w:sz="8" w:color="auto"/>
              <w:left w:val="single" w:sz="8" w:color="auto"/>
            </w:tcBorders>
            <w:shd w:val="clear" w:color="auto" w:fill="CFF0FC"/>
          </w:tcPr>
          <w:p>
            <w:pPr>
              <w:spacing w:after="0"/>
              <w:rPr>
                <w:sz w:val="10"/>
                <w:szCs w:val="10"/>
                <w:color w:val="auto"/>
              </w:rPr>
            </w:pPr>
          </w:p>
        </w:tc>
        <w:tc>
          <w:tcPr>
            <w:tcW w:w="2400" w:type="dxa"/>
            <w:vAlign w:val="bottom"/>
            <w:tcBorders>
              <w:top w:val="single" w:sz="8" w:color="auto"/>
            </w:tcBorders>
            <w:shd w:val="clear" w:color="auto" w:fill="CFF0FC"/>
          </w:tcPr>
          <w:p>
            <w:pPr>
              <w:spacing w:after="0"/>
              <w:rPr>
                <w:sz w:val="10"/>
                <w:szCs w:val="10"/>
                <w:color w:val="auto"/>
              </w:rPr>
            </w:pPr>
          </w:p>
        </w:tc>
        <w:tc>
          <w:tcPr>
            <w:tcW w:w="2100" w:type="dxa"/>
            <w:vAlign w:val="bottom"/>
            <w:tcBorders>
              <w:top w:val="single" w:sz="8" w:color="auto"/>
            </w:tcBorders>
            <w:shd w:val="clear" w:color="auto" w:fill="CFF0FC"/>
          </w:tcPr>
          <w:p>
            <w:pPr>
              <w:jc w:val="center"/>
              <w:spacing w:after="0" w:line="122" w:lineRule="exact"/>
              <w:rPr>
                <w:sz w:val="20"/>
                <w:szCs w:val="20"/>
                <w:color w:val="auto"/>
              </w:rPr>
            </w:pPr>
            <w:r>
              <w:rPr>
                <w:rFonts w:ascii="Arial" w:cs="Arial" w:eastAsia="Arial" w:hAnsi="Arial"/>
                <w:sz w:val="13"/>
                <w:szCs w:val="13"/>
                <w:b w:val="1"/>
                <w:bCs w:val="1"/>
                <w:color w:val="auto"/>
                <w:w w:val="89"/>
              </w:rPr>
              <w:t>Termination Without Cause or for</w:t>
            </w:r>
          </w:p>
        </w:tc>
        <w:tc>
          <w:tcPr>
            <w:tcW w:w="60" w:type="dxa"/>
            <w:vAlign w:val="bottom"/>
            <w:tcBorders>
              <w:top w:val="single" w:sz="8" w:color="CFF0FC"/>
            </w:tcBorders>
            <w:shd w:val="clear" w:color="auto" w:fill="CFF0FC"/>
          </w:tcPr>
          <w:p>
            <w:pPr>
              <w:spacing w:after="0"/>
              <w:rPr>
                <w:sz w:val="10"/>
                <w:szCs w:val="10"/>
                <w:color w:val="auto"/>
              </w:rPr>
            </w:pPr>
          </w:p>
        </w:tc>
        <w:tc>
          <w:tcPr>
            <w:tcW w:w="216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2060" w:type="dxa"/>
            <w:vAlign w:val="bottom"/>
            <w:tcBorders>
              <w:top w:val="single" w:sz="8" w:color="auto"/>
            </w:tcBorders>
            <w:shd w:val="clear" w:color="auto" w:fill="CFF0FC"/>
          </w:tcPr>
          <w:p>
            <w:pPr>
              <w:jc w:val="center"/>
              <w:spacing w:after="0" w:line="122" w:lineRule="exact"/>
              <w:rPr>
                <w:sz w:val="20"/>
                <w:szCs w:val="20"/>
                <w:color w:val="auto"/>
              </w:rPr>
            </w:pPr>
            <w:r>
              <w:rPr>
                <w:rFonts w:ascii="Arial" w:cs="Arial" w:eastAsia="Arial" w:hAnsi="Arial"/>
                <w:sz w:val="13"/>
                <w:szCs w:val="13"/>
                <w:b w:val="1"/>
                <w:bCs w:val="1"/>
                <w:color w:val="auto"/>
                <w:w w:val="89"/>
              </w:rPr>
              <w:t>Termination Without Cause or for</w:t>
            </w:r>
          </w:p>
        </w:tc>
        <w:tc>
          <w:tcPr>
            <w:tcW w:w="4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80" w:type="dxa"/>
            <w:vAlign w:val="bottom"/>
            <w:tcBorders>
              <w:left w:val="single" w:sz="8" w:color="auto"/>
            </w:tcBorders>
            <w:vMerge w:val="restart"/>
            <w:shd w:val="clear" w:color="auto" w:fill="CFF0FC"/>
          </w:tcPr>
          <w:p>
            <w:pPr>
              <w:ind w:left="40"/>
              <w:spacing w:after="0"/>
              <w:rPr>
                <w:sz w:val="20"/>
                <w:szCs w:val="20"/>
                <w:color w:val="auto"/>
              </w:rPr>
            </w:pPr>
            <w:r>
              <w:rPr>
                <w:rFonts w:ascii="Arial" w:cs="Arial" w:eastAsia="Arial" w:hAnsi="Arial"/>
                <w:sz w:val="13"/>
                <w:szCs w:val="13"/>
                <w:b w:val="1"/>
                <w:bCs w:val="1"/>
                <w:color w:val="auto"/>
              </w:rPr>
              <w:t>Name</w:t>
            </w:r>
          </w:p>
        </w:tc>
        <w:tc>
          <w:tcPr>
            <w:tcW w:w="240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Benefit</w:t>
            </w:r>
          </w:p>
        </w:tc>
        <w:tc>
          <w:tcPr>
            <w:tcW w:w="2160" w:type="dxa"/>
            <w:vAlign w:val="bottom"/>
            <w:gridSpan w:val="2"/>
            <w:shd w:val="clear" w:color="auto" w:fill="CFF0FC"/>
          </w:tcPr>
          <w:p>
            <w:pPr>
              <w:jc w:val="center"/>
              <w:ind w:right="80"/>
              <w:spacing w:after="0"/>
              <w:rPr>
                <w:sz w:val="20"/>
                <w:szCs w:val="20"/>
                <w:color w:val="auto"/>
              </w:rPr>
            </w:pPr>
            <w:r>
              <w:rPr>
                <w:rFonts w:ascii="Arial" w:cs="Arial" w:eastAsia="Arial" w:hAnsi="Arial"/>
                <w:sz w:val="13"/>
                <w:szCs w:val="13"/>
                <w:b w:val="1"/>
                <w:bCs w:val="1"/>
                <w:color w:val="auto"/>
                <w:w w:val="87"/>
              </w:rPr>
              <w:t>Good Reason / Cause (no Change in</w:t>
            </w:r>
          </w:p>
        </w:tc>
        <w:tc>
          <w:tcPr>
            <w:tcW w:w="220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3"/>
                <w:szCs w:val="13"/>
                <w:b w:val="1"/>
                <w:bCs w:val="1"/>
                <w:color w:val="auto"/>
                <w:w w:val="85"/>
              </w:rPr>
              <w:t xml:space="preserve">Change in Control </w:t>
            </w:r>
            <w:r>
              <w:rPr>
                <w:rFonts w:ascii="Arial" w:cs="Arial" w:eastAsia="Arial" w:hAnsi="Arial"/>
                <w:sz w:val="16"/>
                <w:szCs w:val="16"/>
                <w:b w:val="1"/>
                <w:bCs w:val="1"/>
                <w:color w:val="auto"/>
                <w:w w:val="85"/>
                <w:vertAlign w:val="subscript"/>
              </w:rPr>
              <w:t>(1)</w:t>
            </w:r>
            <w:r>
              <w:rPr>
                <w:rFonts w:ascii="Arial" w:cs="Arial" w:eastAsia="Arial" w:hAnsi="Arial"/>
                <w:sz w:val="13"/>
                <w:szCs w:val="13"/>
                <w:b w:val="1"/>
                <w:bCs w:val="1"/>
                <w:color w:val="auto"/>
                <w:w w:val="85"/>
              </w:rPr>
              <w:t>(no Termination) ($)</w:t>
            </w:r>
          </w:p>
        </w:tc>
        <w:tc>
          <w:tcPr>
            <w:tcW w:w="2100" w:type="dxa"/>
            <w:vAlign w:val="bottom"/>
            <w:gridSpan w:val="2"/>
            <w:shd w:val="clear" w:color="auto" w:fill="CFF0FC"/>
          </w:tcPr>
          <w:p>
            <w:pPr>
              <w:jc w:val="center"/>
              <w:ind w:right="60"/>
              <w:spacing w:after="0"/>
              <w:rPr>
                <w:sz w:val="20"/>
                <w:szCs w:val="20"/>
                <w:color w:val="auto"/>
              </w:rPr>
            </w:pPr>
            <w:r>
              <w:rPr>
                <w:rFonts w:ascii="Arial" w:cs="Arial" w:eastAsia="Arial" w:hAnsi="Arial"/>
                <w:sz w:val="13"/>
                <w:szCs w:val="13"/>
                <w:b w:val="1"/>
                <w:bCs w:val="1"/>
                <w:color w:val="auto"/>
                <w:w w:val="85"/>
              </w:rPr>
              <w:t>Good Reason / Cause in Connection</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continue"/>
            <w:shd w:val="clear" w:color="auto" w:fill="CFF0FC"/>
          </w:tcPr>
          <w:p>
            <w:pPr>
              <w:spacing w:after="0"/>
              <w:rPr>
                <w:sz w:val="9"/>
                <w:szCs w:val="9"/>
                <w:color w:val="auto"/>
              </w:rPr>
            </w:pPr>
          </w:p>
        </w:tc>
        <w:tc>
          <w:tcPr>
            <w:tcW w:w="2400" w:type="dxa"/>
            <w:vAlign w:val="bottom"/>
            <w:vMerge w:val="continue"/>
            <w:shd w:val="clear" w:color="auto" w:fill="CFF0FC"/>
          </w:tcPr>
          <w:p>
            <w:pPr>
              <w:spacing w:after="0"/>
              <w:rPr>
                <w:sz w:val="9"/>
                <w:szCs w:val="9"/>
                <w:color w:val="auto"/>
              </w:rPr>
            </w:pPr>
          </w:p>
        </w:tc>
        <w:tc>
          <w:tcPr>
            <w:tcW w:w="2160" w:type="dxa"/>
            <w:vAlign w:val="bottom"/>
            <w:gridSpan w:val="2"/>
            <w:shd w:val="clear" w:color="auto" w:fill="CFF0FC"/>
          </w:tcPr>
          <w:p>
            <w:pPr>
              <w:jc w:val="center"/>
              <w:ind w:right="40"/>
              <w:spacing w:after="0" w:line="108" w:lineRule="exact"/>
              <w:rPr>
                <w:sz w:val="20"/>
                <w:szCs w:val="20"/>
                <w:color w:val="auto"/>
              </w:rPr>
            </w:pPr>
            <w:r>
              <w:rPr>
                <w:rFonts w:ascii="Arial" w:cs="Arial" w:eastAsia="Arial" w:hAnsi="Arial"/>
                <w:sz w:val="12"/>
                <w:szCs w:val="12"/>
                <w:b w:val="1"/>
                <w:bCs w:val="1"/>
                <w:color w:val="auto"/>
                <w:w w:val="98"/>
              </w:rPr>
              <w:t>Control) ($)</w:t>
            </w:r>
          </w:p>
        </w:tc>
        <w:tc>
          <w:tcPr>
            <w:tcW w:w="2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100" w:type="dxa"/>
            <w:vAlign w:val="bottom"/>
            <w:gridSpan w:val="2"/>
            <w:shd w:val="clear" w:color="auto" w:fill="CFF0FC"/>
          </w:tcPr>
          <w:p>
            <w:pPr>
              <w:ind w:left="260"/>
              <w:spacing w:after="0" w:line="108" w:lineRule="exact"/>
              <w:rPr>
                <w:sz w:val="20"/>
                <w:szCs w:val="20"/>
                <w:color w:val="auto"/>
              </w:rPr>
            </w:pPr>
            <w:r>
              <w:rPr>
                <w:rFonts w:ascii="Arial" w:cs="Arial" w:eastAsia="Arial" w:hAnsi="Arial"/>
                <w:sz w:val="12"/>
                <w:szCs w:val="12"/>
                <w:b w:val="1"/>
                <w:bCs w:val="1"/>
                <w:color w:val="auto"/>
              </w:rPr>
              <w:t>with a Change in Control ($)</w:t>
            </w:r>
          </w:p>
        </w:tc>
        <w:tc>
          <w:tcPr>
            <w:tcW w:w="0" w:type="dxa"/>
            <w:vAlign w:val="bottom"/>
          </w:tcPr>
          <w:p>
            <w:pPr>
              <w:spacing w:after="0"/>
              <w:rPr>
                <w:sz w:val="1"/>
                <w:szCs w:val="1"/>
                <w:color w:val="auto"/>
              </w:rPr>
            </w:pPr>
          </w:p>
        </w:tc>
      </w:tr>
      <w:tr>
        <w:trPr>
          <w:trHeight w:val="115"/>
        </w:trPr>
        <w:tc>
          <w:tcPr>
            <w:tcW w:w="2380" w:type="dxa"/>
            <w:vAlign w:val="bottom"/>
            <w:tcBorders>
              <w:top w:val="single" w:sz="8" w:color="auto"/>
              <w:left w:val="single" w:sz="8" w:color="auto"/>
            </w:tcBorders>
          </w:tcPr>
          <w:p>
            <w:pPr>
              <w:ind w:left="40"/>
              <w:spacing w:after="0" w:line="115" w:lineRule="exact"/>
              <w:rPr>
                <w:sz w:val="20"/>
                <w:szCs w:val="20"/>
                <w:color w:val="auto"/>
              </w:rPr>
            </w:pPr>
            <w:r>
              <w:rPr>
                <w:rFonts w:ascii="Arial" w:cs="Arial" w:eastAsia="Arial" w:hAnsi="Arial"/>
                <w:sz w:val="13"/>
                <w:szCs w:val="13"/>
                <w:color w:val="auto"/>
              </w:rPr>
              <w:t>Douglas L. Braunstein</w:t>
            </w:r>
          </w:p>
        </w:tc>
        <w:tc>
          <w:tcPr>
            <w:tcW w:w="240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rPr>
              <w:t>Cash</w:t>
            </w:r>
          </w:p>
        </w:tc>
        <w:tc>
          <w:tcPr>
            <w:tcW w:w="21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FF0FC"/>
            </w:tcBorders>
          </w:tcPr>
          <w:p>
            <w:pPr>
              <w:spacing w:after="0"/>
              <w:rPr>
                <w:sz w:val="9"/>
                <w:szCs w:val="9"/>
                <w:color w:val="auto"/>
              </w:rPr>
            </w:pPr>
          </w:p>
        </w:tc>
        <w:tc>
          <w:tcPr>
            <w:tcW w:w="21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FF0FC"/>
            </w:tcBorders>
          </w:tcPr>
          <w:p>
            <w:pPr>
              <w:spacing w:after="0"/>
              <w:rPr>
                <w:sz w:val="9"/>
                <w:szCs w:val="9"/>
                <w:color w:val="auto"/>
              </w:rPr>
            </w:pPr>
          </w:p>
        </w:tc>
        <w:tc>
          <w:tcPr>
            <w:tcW w:w="20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380" w:type="dxa"/>
            <w:vAlign w:val="bottom"/>
            <w:tcBorders>
              <w:left w:val="single" w:sz="8" w:color="auto"/>
            </w:tcBorders>
          </w:tcPr>
          <w:p>
            <w:pPr>
              <w:spacing w:after="0"/>
              <w:rPr>
                <w:sz w:val="14"/>
                <w:szCs w:val="14"/>
                <w:color w:val="auto"/>
              </w:rPr>
            </w:pPr>
          </w:p>
        </w:tc>
        <w:tc>
          <w:tcPr>
            <w:tcW w:w="2400" w:type="dxa"/>
            <w:vAlign w:val="bottom"/>
          </w:tcPr>
          <w:p>
            <w:pPr>
              <w:spacing w:after="0" w:line="161" w:lineRule="exact"/>
              <w:rPr>
                <w:sz w:val="20"/>
                <w:szCs w:val="20"/>
                <w:color w:val="auto"/>
              </w:rPr>
            </w:pPr>
            <w:r>
              <w:rPr>
                <w:rFonts w:ascii="Arial" w:cs="Arial" w:eastAsia="Arial" w:hAnsi="Arial"/>
                <w:sz w:val="13"/>
                <w:szCs w:val="13"/>
                <w:color w:val="auto"/>
              </w:rPr>
              <w:t>Equity Acceleration</w:t>
            </w:r>
            <w:r>
              <w:rPr>
                <w:rFonts w:ascii="Arial" w:cs="Arial" w:eastAsia="Arial" w:hAnsi="Arial"/>
                <w:sz w:val="16"/>
                <w:szCs w:val="16"/>
                <w:color w:val="auto"/>
                <w:vertAlign w:val="superscript"/>
              </w:rPr>
              <w:t>(2)</w:t>
            </w:r>
          </w:p>
        </w:tc>
        <w:tc>
          <w:tcPr>
            <w:tcW w:w="21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30,308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80" w:type="dxa"/>
            <w:vAlign w:val="bottom"/>
            <w:tcBorders>
              <w:left w:val="single" w:sz="8" w:color="auto"/>
            </w:tcBorders>
          </w:tcPr>
          <w:p>
            <w:pPr>
              <w:spacing w:after="0"/>
              <w:rPr>
                <w:sz w:val="11"/>
                <w:szCs w:val="11"/>
                <w:color w:val="auto"/>
              </w:rPr>
            </w:pPr>
          </w:p>
        </w:tc>
        <w:tc>
          <w:tcPr>
            <w:tcW w:w="2400" w:type="dxa"/>
            <w:vAlign w:val="bottom"/>
          </w:tcPr>
          <w:p>
            <w:pPr>
              <w:spacing w:after="0" w:line="134" w:lineRule="exact"/>
              <w:rPr>
                <w:sz w:val="20"/>
                <w:szCs w:val="20"/>
                <w:color w:val="auto"/>
              </w:rPr>
            </w:pPr>
            <w:r>
              <w:rPr>
                <w:rFonts w:ascii="Arial" w:cs="Arial" w:eastAsia="Arial" w:hAnsi="Arial"/>
                <w:sz w:val="13"/>
                <w:szCs w:val="13"/>
                <w:color w:val="auto"/>
              </w:rPr>
              <w:t>Continued Healthcare</w:t>
            </w:r>
          </w:p>
        </w:tc>
        <w:tc>
          <w:tcPr>
            <w:tcW w:w="21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1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380" w:type="dxa"/>
            <w:vAlign w:val="bottom"/>
            <w:tcBorders>
              <w:left w:val="single" w:sz="8" w:color="auto"/>
            </w:tcBorders>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(3)</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30,308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380" w:type="dxa"/>
            <w:vAlign w:val="bottom"/>
            <w:tcBorders>
              <w:left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80" w:type="dxa"/>
            <w:vAlign w:val="bottom"/>
            <w:tcBorders>
              <w:left w:val="single" w:sz="8" w:color="auto"/>
            </w:tcBorders>
            <w:shd w:val="clear" w:color="auto" w:fill="CFF0FC"/>
          </w:tcPr>
          <w:p>
            <w:pPr>
              <w:ind w:left="40"/>
              <w:spacing w:after="0" w:line="121" w:lineRule="exact"/>
              <w:rPr>
                <w:sz w:val="20"/>
                <w:szCs w:val="20"/>
                <w:color w:val="auto"/>
              </w:rPr>
            </w:pPr>
            <w:r>
              <w:rPr>
                <w:rFonts w:ascii="Arial" w:cs="Arial" w:eastAsia="Arial" w:hAnsi="Arial"/>
                <w:sz w:val="13"/>
                <w:szCs w:val="13"/>
                <w:color w:val="auto"/>
              </w:rPr>
              <w:t>Oren Frank</w:t>
            </w:r>
          </w:p>
        </w:tc>
        <w:tc>
          <w:tcPr>
            <w:tcW w:w="2400" w:type="dxa"/>
            <w:vAlign w:val="bottom"/>
            <w:shd w:val="clear" w:color="auto" w:fill="CFF0FC"/>
          </w:tcPr>
          <w:p>
            <w:pPr>
              <w:spacing w:after="0" w:line="121" w:lineRule="exact"/>
              <w:rPr>
                <w:sz w:val="20"/>
                <w:szCs w:val="20"/>
                <w:color w:val="auto"/>
              </w:rPr>
            </w:pPr>
            <w:r>
              <w:rPr>
                <w:rFonts w:ascii="Arial" w:cs="Arial" w:eastAsia="Arial" w:hAnsi="Arial"/>
                <w:sz w:val="13"/>
                <w:szCs w:val="13"/>
                <w:color w:val="auto"/>
              </w:rPr>
              <w:t>Cash</w:t>
            </w:r>
          </w:p>
        </w:tc>
        <w:tc>
          <w:tcPr>
            <w:tcW w:w="210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1,225,000</w:t>
            </w:r>
          </w:p>
        </w:tc>
        <w:tc>
          <w:tcPr>
            <w:tcW w:w="60" w:type="dxa"/>
            <w:vAlign w:val="bottom"/>
            <w:shd w:val="clear" w:color="auto" w:fill="CFF0FC"/>
          </w:tcPr>
          <w:p>
            <w:pPr>
              <w:spacing w:after="0"/>
              <w:rPr>
                <w:sz w:val="10"/>
                <w:szCs w:val="10"/>
                <w:color w:val="auto"/>
              </w:rPr>
            </w:pPr>
          </w:p>
        </w:tc>
        <w:tc>
          <w:tcPr>
            <w:tcW w:w="216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0"/>
                <w:szCs w:val="10"/>
                <w:color w:val="auto"/>
              </w:rPr>
            </w:pPr>
          </w:p>
        </w:tc>
        <w:tc>
          <w:tcPr>
            <w:tcW w:w="206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Borders>
              <w:left w:val="single" w:sz="8" w:color="auto"/>
            </w:tcBorders>
            <w:shd w:val="clear" w:color="auto" w:fill="CFF0FC"/>
          </w:tcPr>
          <w:p>
            <w:pPr>
              <w:spacing w:after="0"/>
              <w:rPr>
                <w:sz w:val="14"/>
                <w:szCs w:val="14"/>
                <w:color w:val="auto"/>
              </w:rPr>
            </w:pPr>
          </w:p>
        </w:tc>
        <w:tc>
          <w:tcPr>
            <w:tcW w:w="2400" w:type="dxa"/>
            <w:vAlign w:val="bottom"/>
            <w:shd w:val="clear" w:color="auto" w:fill="CFF0FC"/>
          </w:tcPr>
          <w:p>
            <w:pPr>
              <w:spacing w:after="0" w:line="161" w:lineRule="exact"/>
              <w:rPr>
                <w:sz w:val="20"/>
                <w:szCs w:val="20"/>
                <w:color w:val="auto"/>
              </w:rPr>
            </w:pPr>
            <w:r>
              <w:rPr>
                <w:rFonts w:ascii="Arial" w:cs="Arial" w:eastAsia="Arial" w:hAnsi="Arial"/>
                <w:sz w:val="13"/>
                <w:szCs w:val="13"/>
                <w:color w:val="auto"/>
              </w:rPr>
              <w:t>Equity Acceleration</w:t>
            </w:r>
            <w:r>
              <w:rPr>
                <w:rFonts w:ascii="Arial" w:cs="Arial" w:eastAsia="Arial" w:hAnsi="Arial"/>
                <w:sz w:val="16"/>
                <w:szCs w:val="16"/>
                <w:color w:val="auto"/>
                <w:vertAlign w:val="superscript"/>
              </w:rPr>
              <w:t>(4)</w:t>
            </w:r>
          </w:p>
        </w:tc>
        <w:tc>
          <w:tcPr>
            <w:tcW w:w="2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917,673</w:t>
            </w:r>
          </w:p>
        </w:tc>
        <w:tc>
          <w:tcPr>
            <w:tcW w:w="60" w:type="dxa"/>
            <w:vAlign w:val="bottom"/>
            <w:shd w:val="clear" w:color="auto" w:fill="CFF0FC"/>
          </w:tcPr>
          <w:p>
            <w:pPr>
              <w:spacing w:after="0"/>
              <w:rPr>
                <w:sz w:val="14"/>
                <w:szCs w:val="14"/>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80" w:type="dxa"/>
            <w:vAlign w:val="bottom"/>
            <w:tcBorders>
              <w:left w:val="single" w:sz="8" w:color="auto"/>
            </w:tcBorders>
            <w:shd w:val="clear" w:color="auto" w:fill="CFF0FC"/>
          </w:tcPr>
          <w:p>
            <w:pPr>
              <w:spacing w:after="0"/>
              <w:rPr>
                <w:sz w:val="11"/>
                <w:szCs w:val="11"/>
                <w:color w:val="auto"/>
              </w:rPr>
            </w:pPr>
          </w:p>
        </w:tc>
        <w:tc>
          <w:tcPr>
            <w:tcW w:w="24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Continued Healthcare</w:t>
            </w:r>
          </w:p>
        </w:tc>
        <w:tc>
          <w:tcPr>
            <w:tcW w:w="21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73,051</w:t>
            </w:r>
          </w:p>
        </w:tc>
        <w:tc>
          <w:tcPr>
            <w:tcW w:w="60" w:type="dxa"/>
            <w:vAlign w:val="bottom"/>
            <w:shd w:val="clear" w:color="auto" w:fill="CFF0FC"/>
          </w:tcPr>
          <w:p>
            <w:pPr>
              <w:spacing w:after="0"/>
              <w:rPr>
                <w:sz w:val="11"/>
                <w:szCs w:val="11"/>
                <w:color w:val="auto"/>
              </w:rPr>
            </w:pPr>
          </w:p>
        </w:tc>
        <w:tc>
          <w:tcPr>
            <w:tcW w:w="21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380" w:type="dxa"/>
            <w:vAlign w:val="bottom"/>
            <w:tcBorders>
              <w:left w:val="single" w:sz="8" w:color="auto"/>
            </w:tcBorders>
            <w:shd w:val="clear" w:color="auto" w:fill="CFF0FC"/>
          </w:tcPr>
          <w:p>
            <w:pPr>
              <w:spacing w:after="0"/>
              <w:rPr>
                <w:sz w:val="15"/>
                <w:szCs w:val="15"/>
                <w:color w:val="auto"/>
              </w:rPr>
            </w:pPr>
          </w:p>
        </w:tc>
        <w:tc>
          <w:tcPr>
            <w:tcW w:w="2400" w:type="dxa"/>
            <w:vAlign w:val="bottom"/>
            <w:shd w:val="clear" w:color="auto" w:fill="CFF0FC"/>
          </w:tcPr>
          <w:p>
            <w:pPr>
              <w:spacing w:after="0" w:line="178" w:lineRule="exact"/>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(3)</w:t>
            </w:r>
          </w:p>
        </w:tc>
        <w:tc>
          <w:tcPr>
            <w:tcW w:w="2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2,215,724</w:t>
            </w:r>
          </w:p>
        </w:tc>
        <w:tc>
          <w:tcPr>
            <w:tcW w:w="60" w:type="dxa"/>
            <w:vAlign w:val="bottom"/>
            <w:shd w:val="clear" w:color="auto" w:fill="CFF0FC"/>
          </w:tcPr>
          <w:p>
            <w:pPr>
              <w:spacing w:after="0"/>
              <w:rPr>
                <w:sz w:val="15"/>
                <w:szCs w:val="15"/>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5"/>
                <w:szCs w:val="15"/>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8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Jennifer Fulk</w:t>
            </w:r>
          </w:p>
        </w:tc>
        <w:tc>
          <w:tcPr>
            <w:tcW w:w="2400" w:type="dxa"/>
            <w:vAlign w:val="bottom"/>
          </w:tcPr>
          <w:p>
            <w:pPr>
              <w:spacing w:after="0"/>
              <w:rPr>
                <w:sz w:val="20"/>
                <w:szCs w:val="20"/>
                <w:color w:val="auto"/>
              </w:rPr>
            </w:pPr>
            <w:r>
              <w:rPr>
                <w:rFonts w:ascii="Arial" w:cs="Arial" w:eastAsia="Arial" w:hAnsi="Arial"/>
                <w:sz w:val="13"/>
                <w:szCs w:val="13"/>
                <w:color w:val="auto"/>
              </w:rPr>
              <w:t>Cash</w:t>
            </w:r>
          </w:p>
        </w:tc>
        <w:tc>
          <w:tcPr>
            <w:tcW w:w="2100" w:type="dxa"/>
            <w:vAlign w:val="bottom"/>
          </w:tcPr>
          <w:p>
            <w:pPr>
              <w:jc w:val="right"/>
              <w:spacing w:after="0"/>
              <w:rPr>
                <w:sz w:val="20"/>
                <w:szCs w:val="20"/>
                <w:color w:val="auto"/>
              </w:rPr>
            </w:pPr>
            <w:r>
              <w:rPr>
                <w:rFonts w:ascii="Arial" w:cs="Arial" w:eastAsia="Arial" w:hAnsi="Arial"/>
                <w:sz w:val="13"/>
                <w:szCs w:val="13"/>
                <w:color w:val="auto"/>
              </w:rPr>
              <w:t>200,000</w:t>
            </w:r>
          </w:p>
        </w:tc>
        <w:tc>
          <w:tcPr>
            <w:tcW w:w="6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1,200,000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380" w:type="dxa"/>
            <w:vAlign w:val="bottom"/>
            <w:tcBorders>
              <w:left w:val="single" w:sz="8" w:color="auto"/>
            </w:tcBorders>
          </w:tcPr>
          <w:p>
            <w:pPr>
              <w:spacing w:after="0"/>
              <w:rPr>
                <w:sz w:val="13"/>
                <w:szCs w:val="13"/>
                <w:color w:val="auto"/>
              </w:rPr>
            </w:pPr>
          </w:p>
        </w:tc>
        <w:tc>
          <w:tcPr>
            <w:tcW w:w="2400" w:type="dxa"/>
            <w:vAlign w:val="bottom"/>
          </w:tcPr>
          <w:p>
            <w:pPr>
              <w:spacing w:after="0" w:line="158" w:lineRule="exact"/>
              <w:rPr>
                <w:sz w:val="20"/>
                <w:szCs w:val="20"/>
                <w:color w:val="auto"/>
              </w:rPr>
            </w:pPr>
            <w:r>
              <w:rPr>
                <w:rFonts w:ascii="Arial" w:cs="Arial" w:eastAsia="Arial" w:hAnsi="Arial"/>
                <w:sz w:val="13"/>
                <w:szCs w:val="13"/>
                <w:color w:val="auto"/>
              </w:rPr>
              <w:t>Equity Acceleration</w:t>
            </w:r>
            <w:r>
              <w:rPr>
                <w:rFonts w:ascii="Arial" w:cs="Arial" w:eastAsia="Arial" w:hAnsi="Arial"/>
                <w:sz w:val="16"/>
                <w:szCs w:val="16"/>
                <w:color w:val="auto"/>
                <w:vertAlign w:val="superscript"/>
              </w:rPr>
              <w:t>(2)</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243,788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80" w:type="dxa"/>
            <w:vAlign w:val="bottom"/>
            <w:tcBorders>
              <w:left w:val="single" w:sz="8" w:color="auto"/>
            </w:tcBorders>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3"/>
                <w:szCs w:val="13"/>
                <w:color w:val="auto"/>
              </w:rPr>
              <w:t>Continued Healthcare</w:t>
            </w:r>
          </w:p>
        </w:tc>
        <w:tc>
          <w:tcPr>
            <w:tcW w:w="2100" w:type="dxa"/>
            <w:vAlign w:val="bottom"/>
          </w:tcPr>
          <w:p>
            <w:pPr>
              <w:jc w:val="right"/>
              <w:spacing w:after="0" w:line="138" w:lineRule="exact"/>
              <w:rPr>
                <w:sz w:val="20"/>
                <w:szCs w:val="20"/>
                <w:color w:val="auto"/>
              </w:rPr>
            </w:pPr>
            <w:r>
              <w:rPr>
                <w:rFonts w:ascii="Arial" w:cs="Arial" w:eastAsia="Arial" w:hAnsi="Arial"/>
                <w:sz w:val="13"/>
                <w:szCs w:val="13"/>
                <w:color w:val="auto"/>
              </w:rPr>
              <w:t>23,501</w:t>
            </w:r>
          </w:p>
        </w:tc>
        <w:tc>
          <w:tcPr>
            <w:tcW w:w="60" w:type="dxa"/>
            <w:vAlign w:val="bottom"/>
          </w:tcPr>
          <w:p>
            <w:pPr>
              <w:spacing w:after="0"/>
              <w:rPr>
                <w:sz w:val="11"/>
                <w:szCs w:val="11"/>
                <w:color w:val="auto"/>
              </w:rPr>
            </w:pPr>
          </w:p>
        </w:tc>
        <w:tc>
          <w:tcPr>
            <w:tcW w:w="2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2060" w:type="dxa"/>
            <w:vAlign w:val="bottom"/>
          </w:tcPr>
          <w:p>
            <w:pPr>
              <w:jc w:val="right"/>
              <w:spacing w:after="0" w:line="138" w:lineRule="exact"/>
              <w:rPr>
                <w:sz w:val="20"/>
                <w:szCs w:val="20"/>
                <w:color w:val="auto"/>
              </w:rPr>
            </w:pPr>
            <w:r>
              <w:rPr>
                <w:rFonts w:ascii="Arial" w:cs="Arial" w:eastAsia="Arial" w:hAnsi="Arial"/>
                <w:sz w:val="13"/>
                <w:szCs w:val="13"/>
                <w:color w:val="auto"/>
              </w:rPr>
              <w:t>47,002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380" w:type="dxa"/>
            <w:vAlign w:val="bottom"/>
            <w:tcBorders>
              <w:left w:val="single" w:sz="8" w:color="auto"/>
            </w:tcBorders>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(3)</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auto"/>
              </w:rPr>
              <w:t>223,501</w:t>
            </w:r>
          </w:p>
        </w:tc>
        <w:tc>
          <w:tcPr>
            <w:tcW w:w="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1,490,790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380" w:type="dxa"/>
            <w:vAlign w:val="bottom"/>
            <w:tcBorders>
              <w:left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80" w:type="dxa"/>
            <w:vAlign w:val="bottom"/>
            <w:tcBorders>
              <w:left w:val="single" w:sz="8" w:color="auto"/>
            </w:tcBorders>
            <w:shd w:val="clear" w:color="auto" w:fill="CFF0FC"/>
          </w:tcPr>
          <w:p>
            <w:pPr>
              <w:ind w:left="40"/>
              <w:spacing w:after="0" w:line="121" w:lineRule="exact"/>
              <w:rPr>
                <w:sz w:val="20"/>
                <w:szCs w:val="20"/>
                <w:color w:val="auto"/>
              </w:rPr>
            </w:pPr>
            <w:r>
              <w:rPr>
                <w:rFonts w:ascii="Arial" w:cs="Arial" w:eastAsia="Arial" w:hAnsi="Arial"/>
                <w:sz w:val="13"/>
                <w:szCs w:val="13"/>
                <w:color w:val="auto"/>
              </w:rPr>
              <w:t>Mark Hirschhorn</w:t>
            </w:r>
          </w:p>
        </w:tc>
        <w:tc>
          <w:tcPr>
            <w:tcW w:w="2400" w:type="dxa"/>
            <w:vAlign w:val="bottom"/>
            <w:shd w:val="clear" w:color="auto" w:fill="CFF0FC"/>
          </w:tcPr>
          <w:p>
            <w:pPr>
              <w:spacing w:after="0" w:line="121" w:lineRule="exact"/>
              <w:rPr>
                <w:sz w:val="20"/>
                <w:szCs w:val="20"/>
                <w:color w:val="auto"/>
              </w:rPr>
            </w:pPr>
            <w:r>
              <w:rPr>
                <w:rFonts w:ascii="Arial" w:cs="Arial" w:eastAsia="Arial" w:hAnsi="Arial"/>
                <w:sz w:val="13"/>
                <w:szCs w:val="13"/>
                <w:color w:val="auto"/>
              </w:rPr>
              <w:t>Cash</w:t>
            </w:r>
          </w:p>
        </w:tc>
        <w:tc>
          <w:tcPr>
            <w:tcW w:w="210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FF0FC"/>
          </w:tcPr>
          <w:p>
            <w:pPr>
              <w:spacing w:after="0"/>
              <w:rPr>
                <w:sz w:val="10"/>
                <w:szCs w:val="10"/>
                <w:color w:val="auto"/>
              </w:rPr>
            </w:pPr>
          </w:p>
        </w:tc>
        <w:tc>
          <w:tcPr>
            <w:tcW w:w="216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0"/>
                <w:szCs w:val="10"/>
                <w:color w:val="auto"/>
              </w:rPr>
            </w:pPr>
          </w:p>
        </w:tc>
        <w:tc>
          <w:tcPr>
            <w:tcW w:w="206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80" w:type="dxa"/>
            <w:vAlign w:val="bottom"/>
            <w:tcBorders>
              <w:left w:val="single" w:sz="8" w:color="auto"/>
            </w:tcBorders>
            <w:shd w:val="clear" w:color="auto" w:fill="CFF0FC"/>
          </w:tcPr>
          <w:p>
            <w:pPr>
              <w:spacing w:after="0"/>
              <w:rPr>
                <w:sz w:val="13"/>
                <w:szCs w:val="13"/>
                <w:color w:val="auto"/>
              </w:rPr>
            </w:pPr>
          </w:p>
        </w:tc>
        <w:tc>
          <w:tcPr>
            <w:tcW w:w="2400" w:type="dxa"/>
            <w:vAlign w:val="bottom"/>
            <w:shd w:val="clear" w:color="auto" w:fill="CFF0FC"/>
          </w:tcPr>
          <w:p>
            <w:pPr>
              <w:spacing w:after="0" w:line="158" w:lineRule="exact"/>
              <w:rPr>
                <w:sz w:val="20"/>
                <w:szCs w:val="20"/>
                <w:color w:val="auto"/>
              </w:rPr>
            </w:pPr>
            <w:r>
              <w:rPr>
                <w:rFonts w:ascii="Arial" w:cs="Arial" w:eastAsia="Arial" w:hAnsi="Arial"/>
                <w:sz w:val="13"/>
                <w:szCs w:val="13"/>
                <w:color w:val="auto"/>
              </w:rPr>
              <w:t>Equity Acceleration</w:t>
            </w:r>
            <w:r>
              <w:rPr>
                <w:rFonts w:ascii="Arial" w:cs="Arial" w:eastAsia="Arial" w:hAnsi="Arial"/>
                <w:sz w:val="16"/>
                <w:szCs w:val="16"/>
                <w:color w:val="auto"/>
                <w:vertAlign w:val="superscript"/>
              </w:rPr>
              <w:t>(2)</w:t>
            </w:r>
          </w:p>
        </w:tc>
        <w:tc>
          <w:tcPr>
            <w:tcW w:w="2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FF0FC"/>
          </w:tcPr>
          <w:p>
            <w:pPr>
              <w:spacing w:after="0"/>
              <w:rPr>
                <w:sz w:val="13"/>
                <w:szCs w:val="13"/>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3"/>
                <w:szCs w:val="13"/>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80" w:type="dxa"/>
            <w:vAlign w:val="bottom"/>
            <w:tcBorders>
              <w:left w:val="single" w:sz="8" w:color="auto"/>
            </w:tcBorders>
            <w:shd w:val="clear" w:color="auto" w:fill="CFF0FC"/>
          </w:tcPr>
          <w:p>
            <w:pPr>
              <w:spacing w:after="0"/>
              <w:rPr>
                <w:sz w:val="11"/>
                <w:szCs w:val="11"/>
                <w:color w:val="auto"/>
              </w:rPr>
            </w:pPr>
          </w:p>
        </w:tc>
        <w:tc>
          <w:tcPr>
            <w:tcW w:w="2400" w:type="dxa"/>
            <w:vAlign w:val="bottom"/>
            <w:shd w:val="clear" w:color="auto" w:fill="CFF0FC"/>
          </w:tcPr>
          <w:p>
            <w:pPr>
              <w:spacing w:after="0" w:line="138" w:lineRule="exact"/>
              <w:rPr>
                <w:sz w:val="20"/>
                <w:szCs w:val="20"/>
                <w:color w:val="auto"/>
              </w:rPr>
            </w:pPr>
            <w:r>
              <w:rPr>
                <w:rFonts w:ascii="Arial" w:cs="Arial" w:eastAsia="Arial" w:hAnsi="Arial"/>
                <w:sz w:val="13"/>
                <w:szCs w:val="13"/>
                <w:color w:val="auto"/>
              </w:rPr>
              <w:t>Continued Healthcare</w:t>
            </w:r>
          </w:p>
        </w:tc>
        <w:tc>
          <w:tcPr>
            <w:tcW w:w="2100" w:type="dxa"/>
            <w:vAlign w:val="bottom"/>
            <w:shd w:val="clear" w:color="auto" w:fill="CFF0FC"/>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FF0FC"/>
          </w:tcPr>
          <w:p>
            <w:pPr>
              <w:spacing w:after="0"/>
              <w:rPr>
                <w:sz w:val="11"/>
                <w:szCs w:val="11"/>
                <w:color w:val="auto"/>
              </w:rPr>
            </w:pPr>
          </w:p>
        </w:tc>
        <w:tc>
          <w:tcPr>
            <w:tcW w:w="2160" w:type="dxa"/>
            <w:vAlign w:val="bottom"/>
            <w:shd w:val="clear" w:color="auto" w:fill="CFF0FC"/>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380" w:type="dxa"/>
            <w:vAlign w:val="bottom"/>
            <w:tcBorders>
              <w:left w:val="single" w:sz="8" w:color="auto"/>
            </w:tcBorders>
            <w:shd w:val="clear" w:color="auto" w:fill="CFF0FC"/>
          </w:tcPr>
          <w:p>
            <w:pPr>
              <w:spacing w:after="0"/>
              <w:rPr>
                <w:sz w:val="15"/>
                <w:szCs w:val="15"/>
                <w:color w:val="auto"/>
              </w:rPr>
            </w:pPr>
          </w:p>
        </w:tc>
        <w:tc>
          <w:tcPr>
            <w:tcW w:w="2400" w:type="dxa"/>
            <w:vAlign w:val="bottom"/>
            <w:shd w:val="clear" w:color="auto" w:fill="CFF0FC"/>
          </w:tcPr>
          <w:p>
            <w:pPr>
              <w:spacing w:after="0" w:line="178" w:lineRule="exact"/>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(3)</w:t>
            </w:r>
          </w:p>
        </w:tc>
        <w:tc>
          <w:tcPr>
            <w:tcW w:w="2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FF0FC"/>
          </w:tcPr>
          <w:p>
            <w:pPr>
              <w:spacing w:after="0"/>
              <w:rPr>
                <w:sz w:val="15"/>
                <w:szCs w:val="15"/>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5"/>
                <w:szCs w:val="15"/>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8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Samara H. Braunstein</w:t>
            </w:r>
          </w:p>
        </w:tc>
        <w:tc>
          <w:tcPr>
            <w:tcW w:w="2400" w:type="dxa"/>
            <w:vAlign w:val="bottom"/>
          </w:tcPr>
          <w:p>
            <w:pPr>
              <w:spacing w:after="0"/>
              <w:rPr>
                <w:sz w:val="20"/>
                <w:szCs w:val="20"/>
                <w:color w:val="auto"/>
              </w:rPr>
            </w:pPr>
            <w:r>
              <w:rPr>
                <w:rFonts w:ascii="Arial" w:cs="Arial" w:eastAsia="Arial" w:hAnsi="Arial"/>
                <w:sz w:val="13"/>
                <w:szCs w:val="13"/>
                <w:color w:val="auto"/>
              </w:rPr>
              <w:t>Cash</w:t>
            </w:r>
          </w:p>
        </w:tc>
        <w:tc>
          <w:tcPr>
            <w:tcW w:w="2100" w:type="dxa"/>
            <w:vAlign w:val="bottom"/>
          </w:tcPr>
          <w:p>
            <w:pPr>
              <w:jc w:val="right"/>
              <w:spacing w:after="0"/>
              <w:rPr>
                <w:sz w:val="20"/>
                <w:szCs w:val="20"/>
                <w:color w:val="auto"/>
              </w:rPr>
            </w:pPr>
            <w:r>
              <w:rPr>
                <w:rFonts w:ascii="Arial" w:cs="Arial" w:eastAsia="Arial" w:hAnsi="Arial"/>
                <w:sz w:val="13"/>
                <w:szCs w:val="13"/>
                <w:color w:val="auto"/>
              </w:rPr>
              <w:t>165,000</w:t>
            </w:r>
          </w:p>
        </w:tc>
        <w:tc>
          <w:tcPr>
            <w:tcW w:w="6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660,000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380" w:type="dxa"/>
            <w:vAlign w:val="bottom"/>
            <w:tcBorders>
              <w:left w:val="single" w:sz="8" w:color="auto"/>
            </w:tcBorders>
          </w:tcPr>
          <w:p>
            <w:pPr>
              <w:spacing w:after="0"/>
              <w:rPr>
                <w:sz w:val="14"/>
                <w:szCs w:val="14"/>
                <w:color w:val="auto"/>
              </w:rPr>
            </w:pPr>
          </w:p>
        </w:tc>
        <w:tc>
          <w:tcPr>
            <w:tcW w:w="2400" w:type="dxa"/>
            <w:vAlign w:val="bottom"/>
          </w:tcPr>
          <w:p>
            <w:pPr>
              <w:spacing w:after="0" w:line="161" w:lineRule="exact"/>
              <w:rPr>
                <w:sz w:val="20"/>
                <w:szCs w:val="20"/>
                <w:color w:val="auto"/>
              </w:rPr>
            </w:pPr>
            <w:r>
              <w:rPr>
                <w:rFonts w:ascii="Arial" w:cs="Arial" w:eastAsia="Arial" w:hAnsi="Arial"/>
                <w:sz w:val="13"/>
                <w:szCs w:val="13"/>
                <w:color w:val="auto"/>
              </w:rPr>
              <w:t>Equity Acceleration</w:t>
            </w:r>
            <w:r>
              <w:rPr>
                <w:rFonts w:ascii="Arial" w:cs="Arial" w:eastAsia="Arial" w:hAnsi="Arial"/>
                <w:sz w:val="16"/>
                <w:szCs w:val="16"/>
                <w:color w:val="auto"/>
                <w:vertAlign w:val="superscript"/>
              </w:rPr>
              <w:t>(2)</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228,552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80" w:type="dxa"/>
            <w:vAlign w:val="bottom"/>
            <w:tcBorders>
              <w:left w:val="single" w:sz="8" w:color="auto"/>
            </w:tcBorders>
          </w:tcPr>
          <w:p>
            <w:pPr>
              <w:spacing w:after="0"/>
              <w:rPr>
                <w:sz w:val="11"/>
                <w:szCs w:val="11"/>
                <w:color w:val="auto"/>
              </w:rPr>
            </w:pPr>
          </w:p>
        </w:tc>
        <w:tc>
          <w:tcPr>
            <w:tcW w:w="2400" w:type="dxa"/>
            <w:vAlign w:val="bottom"/>
          </w:tcPr>
          <w:p>
            <w:pPr>
              <w:spacing w:after="0" w:line="134" w:lineRule="exact"/>
              <w:rPr>
                <w:sz w:val="20"/>
                <w:szCs w:val="20"/>
                <w:color w:val="auto"/>
              </w:rPr>
            </w:pPr>
            <w:r>
              <w:rPr>
                <w:rFonts w:ascii="Arial" w:cs="Arial" w:eastAsia="Arial" w:hAnsi="Arial"/>
                <w:sz w:val="13"/>
                <w:szCs w:val="13"/>
                <w:color w:val="auto"/>
              </w:rPr>
              <w:t>Continued Healthcare</w:t>
            </w:r>
          </w:p>
        </w:tc>
        <w:tc>
          <w:tcPr>
            <w:tcW w:w="2100" w:type="dxa"/>
            <w:vAlign w:val="bottom"/>
          </w:tcPr>
          <w:p>
            <w:pPr>
              <w:jc w:val="right"/>
              <w:spacing w:after="0" w:line="134" w:lineRule="exact"/>
              <w:rPr>
                <w:sz w:val="20"/>
                <w:szCs w:val="20"/>
                <w:color w:val="auto"/>
              </w:rPr>
            </w:pPr>
            <w:r>
              <w:rPr>
                <w:rFonts w:ascii="Arial" w:cs="Arial" w:eastAsia="Arial" w:hAnsi="Arial"/>
                <w:sz w:val="13"/>
                <w:szCs w:val="13"/>
                <w:color w:val="auto"/>
              </w:rPr>
              <w:t>52</w:t>
            </w:r>
          </w:p>
        </w:tc>
        <w:tc>
          <w:tcPr>
            <w:tcW w:w="60" w:type="dxa"/>
            <w:vAlign w:val="bottom"/>
          </w:tcPr>
          <w:p>
            <w:pPr>
              <w:spacing w:after="0"/>
              <w:rPr>
                <w:sz w:val="11"/>
                <w:szCs w:val="11"/>
                <w:color w:val="auto"/>
              </w:rPr>
            </w:pPr>
          </w:p>
        </w:tc>
        <w:tc>
          <w:tcPr>
            <w:tcW w:w="21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60" w:type="dxa"/>
            <w:vAlign w:val="bottom"/>
          </w:tcPr>
          <w:p>
            <w:pPr>
              <w:jc w:val="right"/>
              <w:spacing w:after="0" w:line="134" w:lineRule="exact"/>
              <w:rPr>
                <w:sz w:val="20"/>
                <w:szCs w:val="20"/>
                <w:color w:val="auto"/>
              </w:rPr>
            </w:pPr>
            <w:r>
              <w:rPr>
                <w:rFonts w:ascii="Arial" w:cs="Arial" w:eastAsia="Arial" w:hAnsi="Arial"/>
                <w:sz w:val="13"/>
                <w:szCs w:val="13"/>
                <w:color w:val="auto"/>
              </w:rPr>
              <w:t>103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380" w:type="dxa"/>
            <w:vAlign w:val="bottom"/>
            <w:tcBorders>
              <w:left w:val="single" w:sz="8" w:color="auto"/>
            </w:tcBorders>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(3)</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auto"/>
              </w:rPr>
              <w:t>165,052</w:t>
            </w:r>
          </w:p>
        </w:tc>
        <w:tc>
          <w:tcPr>
            <w:tcW w:w="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888,655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380" w:type="dxa"/>
            <w:vAlign w:val="bottom"/>
            <w:tcBorders>
              <w:left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80" w:type="dxa"/>
            <w:vAlign w:val="bottom"/>
            <w:tcBorders>
              <w:left w:val="single" w:sz="8" w:color="auto"/>
            </w:tcBorders>
            <w:shd w:val="clear" w:color="auto" w:fill="CFF0FC"/>
          </w:tcPr>
          <w:p>
            <w:pPr>
              <w:ind w:left="40"/>
              <w:spacing w:after="0" w:line="121" w:lineRule="exact"/>
              <w:rPr>
                <w:sz w:val="20"/>
                <w:szCs w:val="20"/>
                <w:color w:val="auto"/>
              </w:rPr>
            </w:pPr>
            <w:r>
              <w:rPr>
                <w:rFonts w:ascii="Arial" w:cs="Arial" w:eastAsia="Arial" w:hAnsi="Arial"/>
                <w:sz w:val="13"/>
                <w:szCs w:val="13"/>
                <w:color w:val="auto"/>
              </w:rPr>
              <w:t>Gil Margolin</w:t>
            </w:r>
          </w:p>
        </w:tc>
        <w:tc>
          <w:tcPr>
            <w:tcW w:w="2400" w:type="dxa"/>
            <w:vAlign w:val="bottom"/>
            <w:shd w:val="clear" w:color="auto" w:fill="CFF0FC"/>
          </w:tcPr>
          <w:p>
            <w:pPr>
              <w:spacing w:after="0" w:line="121" w:lineRule="exact"/>
              <w:rPr>
                <w:sz w:val="20"/>
                <w:szCs w:val="20"/>
                <w:color w:val="auto"/>
              </w:rPr>
            </w:pPr>
            <w:r>
              <w:rPr>
                <w:rFonts w:ascii="Arial" w:cs="Arial" w:eastAsia="Arial" w:hAnsi="Arial"/>
                <w:sz w:val="13"/>
                <w:szCs w:val="13"/>
                <w:color w:val="auto"/>
              </w:rPr>
              <w:t>Cash</w:t>
            </w:r>
          </w:p>
        </w:tc>
        <w:tc>
          <w:tcPr>
            <w:tcW w:w="210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165,000</w:t>
            </w:r>
          </w:p>
        </w:tc>
        <w:tc>
          <w:tcPr>
            <w:tcW w:w="60" w:type="dxa"/>
            <w:vAlign w:val="bottom"/>
            <w:shd w:val="clear" w:color="auto" w:fill="CFF0FC"/>
          </w:tcPr>
          <w:p>
            <w:pPr>
              <w:spacing w:after="0"/>
              <w:rPr>
                <w:sz w:val="10"/>
                <w:szCs w:val="10"/>
                <w:color w:val="auto"/>
              </w:rPr>
            </w:pPr>
          </w:p>
        </w:tc>
        <w:tc>
          <w:tcPr>
            <w:tcW w:w="216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0"/>
                <w:szCs w:val="10"/>
                <w:color w:val="auto"/>
              </w:rPr>
            </w:pPr>
          </w:p>
        </w:tc>
        <w:tc>
          <w:tcPr>
            <w:tcW w:w="206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660,000</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Borders>
              <w:left w:val="single" w:sz="8" w:color="auto"/>
            </w:tcBorders>
            <w:shd w:val="clear" w:color="auto" w:fill="CFF0FC"/>
          </w:tcPr>
          <w:p>
            <w:pPr>
              <w:spacing w:after="0"/>
              <w:rPr>
                <w:sz w:val="14"/>
                <w:szCs w:val="14"/>
                <w:color w:val="auto"/>
              </w:rPr>
            </w:pPr>
          </w:p>
        </w:tc>
        <w:tc>
          <w:tcPr>
            <w:tcW w:w="2400" w:type="dxa"/>
            <w:vAlign w:val="bottom"/>
            <w:shd w:val="clear" w:color="auto" w:fill="CFF0FC"/>
          </w:tcPr>
          <w:p>
            <w:pPr>
              <w:spacing w:after="0" w:line="161" w:lineRule="exact"/>
              <w:rPr>
                <w:sz w:val="20"/>
                <w:szCs w:val="20"/>
                <w:color w:val="auto"/>
              </w:rPr>
            </w:pPr>
            <w:r>
              <w:rPr>
                <w:rFonts w:ascii="Arial" w:cs="Arial" w:eastAsia="Arial" w:hAnsi="Arial"/>
                <w:sz w:val="13"/>
                <w:szCs w:val="13"/>
                <w:color w:val="auto"/>
              </w:rPr>
              <w:t>Equity Acceleration</w:t>
            </w:r>
            <w:r>
              <w:rPr>
                <w:rFonts w:ascii="Arial" w:cs="Arial" w:eastAsia="Arial" w:hAnsi="Arial"/>
                <w:sz w:val="16"/>
                <w:szCs w:val="16"/>
                <w:color w:val="auto"/>
                <w:vertAlign w:val="superscript"/>
              </w:rPr>
              <w:t>(2)</w:t>
            </w:r>
          </w:p>
        </w:tc>
        <w:tc>
          <w:tcPr>
            <w:tcW w:w="2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228,552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80" w:type="dxa"/>
            <w:vAlign w:val="bottom"/>
            <w:tcBorders>
              <w:left w:val="single" w:sz="8" w:color="auto"/>
            </w:tcBorders>
            <w:shd w:val="clear" w:color="auto" w:fill="CFF0FC"/>
          </w:tcPr>
          <w:p>
            <w:pPr>
              <w:spacing w:after="0"/>
              <w:rPr>
                <w:sz w:val="11"/>
                <w:szCs w:val="11"/>
                <w:color w:val="auto"/>
              </w:rPr>
            </w:pPr>
          </w:p>
        </w:tc>
        <w:tc>
          <w:tcPr>
            <w:tcW w:w="24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Continued Healthcare</w:t>
            </w:r>
          </w:p>
        </w:tc>
        <w:tc>
          <w:tcPr>
            <w:tcW w:w="21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13,445</w:t>
            </w:r>
          </w:p>
        </w:tc>
        <w:tc>
          <w:tcPr>
            <w:tcW w:w="60" w:type="dxa"/>
            <w:vAlign w:val="bottom"/>
            <w:shd w:val="clear" w:color="auto" w:fill="CFF0FC"/>
          </w:tcPr>
          <w:p>
            <w:pPr>
              <w:spacing w:after="0"/>
              <w:rPr>
                <w:sz w:val="11"/>
                <w:szCs w:val="11"/>
                <w:color w:val="auto"/>
              </w:rPr>
            </w:pPr>
          </w:p>
        </w:tc>
        <w:tc>
          <w:tcPr>
            <w:tcW w:w="21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26,889</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380" w:type="dxa"/>
            <w:vAlign w:val="bottom"/>
            <w:tcBorders>
              <w:left w:val="single" w:sz="8" w:color="auto"/>
            </w:tcBorders>
            <w:shd w:val="clear" w:color="auto" w:fill="CFF0FC"/>
          </w:tcPr>
          <w:p>
            <w:pPr>
              <w:spacing w:after="0"/>
              <w:rPr>
                <w:sz w:val="15"/>
                <w:szCs w:val="15"/>
                <w:color w:val="auto"/>
              </w:rPr>
            </w:pPr>
          </w:p>
        </w:tc>
        <w:tc>
          <w:tcPr>
            <w:tcW w:w="2400" w:type="dxa"/>
            <w:vAlign w:val="bottom"/>
            <w:shd w:val="clear" w:color="auto" w:fill="CFF0FC"/>
          </w:tcPr>
          <w:p>
            <w:pPr>
              <w:spacing w:after="0" w:line="178" w:lineRule="exact"/>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(3)</w:t>
            </w:r>
          </w:p>
        </w:tc>
        <w:tc>
          <w:tcPr>
            <w:tcW w:w="2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178,445</w:t>
            </w:r>
          </w:p>
        </w:tc>
        <w:tc>
          <w:tcPr>
            <w:tcW w:w="60" w:type="dxa"/>
            <w:vAlign w:val="bottom"/>
            <w:shd w:val="clear" w:color="auto" w:fill="CFF0FC"/>
          </w:tcPr>
          <w:p>
            <w:pPr>
              <w:spacing w:after="0"/>
              <w:rPr>
                <w:sz w:val="15"/>
                <w:szCs w:val="15"/>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FF0FC"/>
          </w:tcPr>
          <w:p>
            <w:pPr>
              <w:spacing w:after="0"/>
              <w:rPr>
                <w:sz w:val="15"/>
                <w:szCs w:val="15"/>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915,441</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8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John C. Reilly</w:t>
            </w:r>
          </w:p>
        </w:tc>
        <w:tc>
          <w:tcPr>
            <w:tcW w:w="2400" w:type="dxa"/>
            <w:vAlign w:val="bottom"/>
          </w:tcPr>
          <w:p>
            <w:pPr>
              <w:spacing w:after="0"/>
              <w:rPr>
                <w:sz w:val="20"/>
                <w:szCs w:val="20"/>
                <w:color w:val="auto"/>
              </w:rPr>
            </w:pPr>
            <w:r>
              <w:rPr>
                <w:rFonts w:ascii="Arial" w:cs="Arial" w:eastAsia="Arial" w:hAnsi="Arial"/>
                <w:sz w:val="13"/>
                <w:szCs w:val="13"/>
                <w:color w:val="auto"/>
              </w:rPr>
              <w:t>Cash</w:t>
            </w:r>
          </w:p>
        </w:tc>
        <w:tc>
          <w:tcPr>
            <w:tcW w:w="2100" w:type="dxa"/>
            <w:vAlign w:val="bottom"/>
          </w:tcPr>
          <w:p>
            <w:pPr>
              <w:jc w:val="right"/>
              <w:spacing w:after="0"/>
              <w:rPr>
                <w:sz w:val="20"/>
                <w:szCs w:val="20"/>
                <w:color w:val="auto"/>
              </w:rPr>
            </w:pPr>
            <w:r>
              <w:rPr>
                <w:rFonts w:ascii="Arial" w:cs="Arial" w:eastAsia="Arial" w:hAnsi="Arial"/>
                <w:sz w:val="13"/>
                <w:szCs w:val="13"/>
                <w:color w:val="auto"/>
              </w:rPr>
              <w:t>130,000</w:t>
            </w:r>
          </w:p>
        </w:tc>
        <w:tc>
          <w:tcPr>
            <w:tcW w:w="6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416,000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380" w:type="dxa"/>
            <w:vAlign w:val="bottom"/>
            <w:tcBorders>
              <w:left w:val="single" w:sz="8" w:color="auto"/>
            </w:tcBorders>
          </w:tcPr>
          <w:p>
            <w:pPr>
              <w:spacing w:after="0"/>
              <w:rPr>
                <w:sz w:val="14"/>
                <w:szCs w:val="14"/>
                <w:color w:val="auto"/>
              </w:rPr>
            </w:pPr>
          </w:p>
        </w:tc>
        <w:tc>
          <w:tcPr>
            <w:tcW w:w="2400" w:type="dxa"/>
            <w:vAlign w:val="bottom"/>
          </w:tcPr>
          <w:p>
            <w:pPr>
              <w:spacing w:after="0" w:line="161" w:lineRule="exact"/>
              <w:rPr>
                <w:sz w:val="20"/>
                <w:szCs w:val="20"/>
                <w:color w:val="auto"/>
              </w:rPr>
            </w:pPr>
            <w:r>
              <w:rPr>
                <w:rFonts w:ascii="Arial" w:cs="Arial" w:eastAsia="Arial" w:hAnsi="Arial"/>
                <w:sz w:val="13"/>
                <w:szCs w:val="13"/>
                <w:color w:val="auto"/>
              </w:rPr>
              <w:t>Equity Acceleration</w:t>
            </w:r>
            <w:r>
              <w:rPr>
                <w:rFonts w:ascii="Arial" w:cs="Arial" w:eastAsia="Arial" w:hAnsi="Arial"/>
                <w:sz w:val="16"/>
                <w:szCs w:val="16"/>
                <w:color w:val="auto"/>
                <w:vertAlign w:val="superscript"/>
              </w:rPr>
              <w:t>(2)</w:t>
            </w:r>
          </w:p>
        </w:tc>
        <w:tc>
          <w:tcPr>
            <w:tcW w:w="21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114,276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80" w:type="dxa"/>
            <w:vAlign w:val="bottom"/>
            <w:tcBorders>
              <w:left w:val="single" w:sz="8" w:color="auto"/>
            </w:tcBorders>
          </w:tcPr>
          <w:p>
            <w:pPr>
              <w:spacing w:after="0"/>
              <w:rPr>
                <w:sz w:val="11"/>
                <w:szCs w:val="11"/>
                <w:color w:val="auto"/>
              </w:rPr>
            </w:pPr>
          </w:p>
        </w:tc>
        <w:tc>
          <w:tcPr>
            <w:tcW w:w="2400" w:type="dxa"/>
            <w:vAlign w:val="bottom"/>
          </w:tcPr>
          <w:p>
            <w:pPr>
              <w:spacing w:after="0" w:line="134" w:lineRule="exact"/>
              <w:rPr>
                <w:sz w:val="20"/>
                <w:szCs w:val="20"/>
                <w:color w:val="auto"/>
              </w:rPr>
            </w:pPr>
            <w:r>
              <w:rPr>
                <w:rFonts w:ascii="Arial" w:cs="Arial" w:eastAsia="Arial" w:hAnsi="Arial"/>
                <w:sz w:val="13"/>
                <w:szCs w:val="13"/>
                <w:color w:val="auto"/>
              </w:rPr>
              <w:t>Continued Healthcare</w:t>
            </w:r>
          </w:p>
        </w:tc>
        <w:tc>
          <w:tcPr>
            <w:tcW w:w="21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1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380" w:type="dxa"/>
            <w:vAlign w:val="bottom"/>
            <w:tcBorders>
              <w:left w:val="single" w:sz="8" w:color="auto"/>
            </w:tcBorders>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(3)</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auto"/>
              </w:rPr>
              <w:t>130,000</w:t>
            </w:r>
          </w:p>
        </w:tc>
        <w:tc>
          <w:tcPr>
            <w:tcW w:w="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530,276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380" w:type="dxa"/>
            <w:vAlign w:val="bottom"/>
            <w:tcBorders>
              <w:left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80" w:type="dxa"/>
            <w:vAlign w:val="bottom"/>
            <w:tcBorders>
              <w:left w:val="single" w:sz="8" w:color="auto"/>
            </w:tcBorders>
            <w:shd w:val="clear" w:color="auto" w:fill="CFF0FC"/>
          </w:tcPr>
          <w:p>
            <w:pPr>
              <w:ind w:left="40"/>
              <w:spacing w:after="0" w:line="121" w:lineRule="exact"/>
              <w:rPr>
                <w:sz w:val="20"/>
                <w:szCs w:val="20"/>
                <w:color w:val="auto"/>
              </w:rPr>
            </w:pPr>
            <w:r>
              <w:rPr>
                <w:rFonts w:ascii="Arial" w:cs="Arial" w:eastAsia="Arial" w:hAnsi="Arial"/>
                <w:sz w:val="13"/>
                <w:szCs w:val="13"/>
                <w:color w:val="auto"/>
              </w:rPr>
              <w:t>Roni Frank</w:t>
            </w:r>
          </w:p>
        </w:tc>
        <w:tc>
          <w:tcPr>
            <w:tcW w:w="2400" w:type="dxa"/>
            <w:vAlign w:val="bottom"/>
            <w:shd w:val="clear" w:color="auto" w:fill="CFF0FC"/>
          </w:tcPr>
          <w:p>
            <w:pPr>
              <w:spacing w:after="0" w:line="121" w:lineRule="exact"/>
              <w:rPr>
                <w:sz w:val="20"/>
                <w:szCs w:val="20"/>
                <w:color w:val="auto"/>
              </w:rPr>
            </w:pPr>
            <w:r>
              <w:rPr>
                <w:rFonts w:ascii="Arial" w:cs="Arial" w:eastAsia="Arial" w:hAnsi="Arial"/>
                <w:sz w:val="13"/>
                <w:szCs w:val="13"/>
                <w:color w:val="auto"/>
              </w:rPr>
              <w:t>Cash</w:t>
            </w:r>
          </w:p>
        </w:tc>
        <w:tc>
          <w:tcPr>
            <w:tcW w:w="210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1,150,000</w:t>
            </w:r>
          </w:p>
        </w:tc>
        <w:tc>
          <w:tcPr>
            <w:tcW w:w="60" w:type="dxa"/>
            <w:vAlign w:val="bottom"/>
            <w:shd w:val="clear" w:color="auto" w:fill="CFF0FC"/>
          </w:tcPr>
          <w:p>
            <w:pPr>
              <w:spacing w:after="0"/>
              <w:rPr>
                <w:sz w:val="10"/>
                <w:szCs w:val="10"/>
                <w:color w:val="auto"/>
              </w:rPr>
            </w:pPr>
          </w:p>
        </w:tc>
        <w:tc>
          <w:tcPr>
            <w:tcW w:w="216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0"/>
                <w:szCs w:val="10"/>
                <w:color w:val="auto"/>
              </w:rPr>
            </w:pPr>
          </w:p>
        </w:tc>
        <w:tc>
          <w:tcPr>
            <w:tcW w:w="206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Borders>
              <w:left w:val="single" w:sz="8" w:color="auto"/>
            </w:tcBorders>
            <w:shd w:val="clear" w:color="auto" w:fill="CFF0FC"/>
          </w:tcPr>
          <w:p>
            <w:pPr>
              <w:spacing w:after="0"/>
              <w:rPr>
                <w:sz w:val="14"/>
                <w:szCs w:val="14"/>
                <w:color w:val="auto"/>
              </w:rPr>
            </w:pPr>
          </w:p>
        </w:tc>
        <w:tc>
          <w:tcPr>
            <w:tcW w:w="2400" w:type="dxa"/>
            <w:vAlign w:val="bottom"/>
            <w:shd w:val="clear" w:color="auto" w:fill="CFF0FC"/>
          </w:tcPr>
          <w:p>
            <w:pPr>
              <w:spacing w:after="0" w:line="161" w:lineRule="exact"/>
              <w:rPr>
                <w:sz w:val="20"/>
                <w:szCs w:val="20"/>
                <w:color w:val="auto"/>
              </w:rPr>
            </w:pPr>
            <w:r>
              <w:rPr>
                <w:rFonts w:ascii="Arial" w:cs="Arial" w:eastAsia="Arial" w:hAnsi="Arial"/>
                <w:sz w:val="13"/>
                <w:szCs w:val="13"/>
                <w:color w:val="auto"/>
              </w:rPr>
              <w:t>Equity Acceleration</w:t>
            </w:r>
            <w:r>
              <w:rPr>
                <w:rFonts w:ascii="Arial" w:cs="Arial" w:eastAsia="Arial" w:hAnsi="Arial"/>
                <w:sz w:val="16"/>
                <w:szCs w:val="16"/>
                <w:color w:val="auto"/>
                <w:vertAlign w:val="superscript"/>
              </w:rPr>
              <w:t>(4)</w:t>
            </w:r>
          </w:p>
        </w:tc>
        <w:tc>
          <w:tcPr>
            <w:tcW w:w="2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262,196</w:t>
            </w:r>
          </w:p>
        </w:tc>
        <w:tc>
          <w:tcPr>
            <w:tcW w:w="60" w:type="dxa"/>
            <w:vAlign w:val="bottom"/>
            <w:shd w:val="clear" w:color="auto" w:fill="CFF0FC"/>
          </w:tcPr>
          <w:p>
            <w:pPr>
              <w:spacing w:after="0"/>
              <w:rPr>
                <w:sz w:val="14"/>
                <w:szCs w:val="14"/>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80" w:type="dxa"/>
            <w:vAlign w:val="bottom"/>
            <w:tcBorders>
              <w:left w:val="single" w:sz="8" w:color="auto"/>
            </w:tcBorders>
            <w:shd w:val="clear" w:color="auto" w:fill="CFF0FC"/>
          </w:tcPr>
          <w:p>
            <w:pPr>
              <w:spacing w:after="0"/>
              <w:rPr>
                <w:sz w:val="11"/>
                <w:szCs w:val="11"/>
                <w:color w:val="auto"/>
              </w:rPr>
            </w:pPr>
          </w:p>
        </w:tc>
        <w:tc>
          <w:tcPr>
            <w:tcW w:w="24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Continued Healthcare</w:t>
            </w:r>
          </w:p>
        </w:tc>
        <w:tc>
          <w:tcPr>
            <w:tcW w:w="21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21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380" w:type="dxa"/>
            <w:vAlign w:val="bottom"/>
            <w:tcBorders>
              <w:left w:val="single" w:sz="8" w:color="auto"/>
              <w:bottom w:val="single" w:sz="8" w:color="auto"/>
            </w:tcBorders>
            <w:shd w:val="clear" w:color="auto" w:fill="CFF0FC"/>
          </w:tcPr>
          <w:p>
            <w:pPr>
              <w:spacing w:after="0"/>
              <w:rPr>
                <w:sz w:val="15"/>
                <w:szCs w:val="15"/>
                <w:color w:val="auto"/>
              </w:rPr>
            </w:pPr>
          </w:p>
        </w:tc>
        <w:tc>
          <w:tcPr>
            <w:tcW w:w="2400" w:type="dxa"/>
            <w:vAlign w:val="bottom"/>
            <w:tcBorders>
              <w:bottom w:val="single" w:sz="8" w:color="auto"/>
            </w:tcBorders>
            <w:shd w:val="clear" w:color="auto" w:fill="CFF0FC"/>
          </w:tcPr>
          <w:p>
            <w:pPr>
              <w:spacing w:after="0" w:line="178" w:lineRule="exact"/>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(3)</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1,412,196</w:t>
            </w:r>
          </w:p>
        </w:tc>
        <w:tc>
          <w:tcPr>
            <w:tcW w:w="60" w:type="dxa"/>
            <w:vAlign w:val="bottom"/>
            <w:tcBorders>
              <w:bottom w:val="single" w:sz="8" w:color="CFF0FC"/>
            </w:tcBorders>
            <w:shd w:val="clear" w:color="auto" w:fill="CFF0FC"/>
          </w:tcPr>
          <w:p>
            <w:pPr>
              <w:spacing w:after="0"/>
              <w:rPr>
                <w:sz w:val="15"/>
                <w:szCs w:val="15"/>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CFF0FC"/>
            </w:tcBorders>
            <w:shd w:val="clear" w:color="auto" w:fill="CFF0FC"/>
          </w:tcPr>
          <w:p>
            <w:pPr>
              <w:spacing w:after="0"/>
              <w:rPr>
                <w:sz w:val="15"/>
                <w:szCs w:val="15"/>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-5080</wp:posOffset>
            </wp:positionV>
            <wp:extent cx="3429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-5080</wp:posOffset>
            </wp:positionV>
            <wp:extent cx="2540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-5080</wp:posOffset>
            </wp:positionV>
            <wp:extent cx="2603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69"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Assumes awards are assumed or substituted in connection with the change in control.</w:t>
      </w:r>
    </w:p>
    <w:p>
      <w:pPr>
        <w:spacing w:after="0" w:line="55" w:lineRule="exact"/>
        <w:rPr>
          <w:rFonts w:ascii="Arial" w:cs="Arial" w:eastAsia="Arial" w:hAnsi="Arial"/>
          <w:sz w:val="14"/>
          <w:szCs w:val="14"/>
          <w:color w:val="auto"/>
        </w:rPr>
      </w:pPr>
    </w:p>
    <w:p>
      <w:pPr>
        <w:jc w:val="both"/>
        <w:ind w:firstLine="8"/>
        <w:spacing w:after="0" w:line="257" w:lineRule="auto"/>
        <w:tabs>
          <w:tab w:leader="none" w:pos="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With respect to options, the value of equity acceleration was calculated by (i) multiplying the number of accelerated shares of common stock underlying the options by $1.97, the closing trading price of our common stock on December 31, 2021 and (ii) subtracting the exercise price for the options. With respect to RSUs, the value of equity acceleration was calculated by multiplying the number of accelerated RSUs by $1.97, the closing trading price of our common stock on December 31, 2021.</w:t>
      </w:r>
    </w:p>
    <w:p>
      <w:pPr>
        <w:spacing w:after="0" w:line="22" w:lineRule="exact"/>
        <w:rPr>
          <w:rFonts w:ascii="Arial" w:cs="Arial" w:eastAsia="Arial" w:hAnsi="Arial"/>
          <w:sz w:val="14"/>
          <w:szCs w:val="14"/>
          <w:color w:val="auto"/>
        </w:rPr>
      </w:pPr>
    </w:p>
    <w:p>
      <w:pPr>
        <w:jc w:val="both"/>
        <w:ind w:firstLine="8"/>
        <w:spacing w:after="0" w:line="257" w:lineRule="auto"/>
        <w:tabs>
          <w:tab w:leader="none" w:pos="212"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shown are the maximum potential payment the NEO would have received as of December 31, 2021 (or, in the case of Messrs. Frank and Hirschhorn and Ms. Frank, the amounts actually received in connection with their terminations of employment). Amounts of any reduction pursuant to the 280G best pay provision, if any, would be calculated upon actual termination of employment.</w:t>
      </w:r>
    </w:p>
    <w:p>
      <w:pPr>
        <w:spacing w:after="0" w:line="22" w:lineRule="exact"/>
        <w:rPr>
          <w:rFonts w:ascii="Arial" w:cs="Arial" w:eastAsia="Arial" w:hAnsi="Arial"/>
          <w:sz w:val="14"/>
          <w:szCs w:val="14"/>
          <w:color w:val="auto"/>
        </w:rPr>
      </w:pPr>
    </w:p>
    <w:p>
      <w:pPr>
        <w:ind w:firstLine="8"/>
        <w:spacing w:after="0" w:line="273" w:lineRule="auto"/>
        <w:tabs>
          <w:tab w:leader="none" w:pos="209" w:val="left"/>
        </w:tabs>
        <w:numPr>
          <w:ilvl w:val="0"/>
          <w:numId w:val="59"/>
        </w:numPr>
        <w:rPr>
          <w:rFonts w:ascii="Arial" w:cs="Arial" w:eastAsia="Arial" w:hAnsi="Arial"/>
          <w:sz w:val="14"/>
          <w:szCs w:val="14"/>
          <w:color w:val="auto"/>
        </w:rPr>
      </w:pPr>
      <w:r>
        <w:rPr>
          <w:rFonts w:ascii="Arial" w:cs="Arial" w:eastAsia="Arial" w:hAnsi="Arial"/>
          <w:sz w:val="14"/>
          <w:szCs w:val="14"/>
          <w:color w:val="auto"/>
        </w:rPr>
        <w:t>With respect to RSUs, the value of equity acceleration was calculated by multiplying the number of accelerated RSUs by $3.39, the closing trading price of our common stock on November 15, 2021, the date of termination of Mr. and Ms. Frank’s employment.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2021 DIRECTOR COMPENSATION</w:t>
      </w:r>
    </w:p>
    <w:p>
      <w:pPr>
        <w:spacing w:after="0" w:line="171" w:lineRule="exact"/>
        <w:rPr>
          <w:sz w:val="20"/>
          <w:szCs w:val="20"/>
          <w:color w:val="auto"/>
        </w:rPr>
      </w:pPr>
    </w:p>
    <w:tbl>
      <w:tblPr>
        <w:tblLayout w:type="fixed"/>
        <w:tblInd w:w="1710" w:type="dxa"/>
        <w:tblCellMar>
          <w:top w:w="0" w:type="dxa"/>
          <w:left w:w="0" w:type="dxa"/>
          <w:bottom w:w="0" w:type="dxa"/>
          <w:right w:w="0" w:type="dxa"/>
        </w:tblCellMar>
      </w:tblPr>
      <w:tr>
        <w:trPr>
          <w:trHeight w:val="158"/>
        </w:trPr>
        <w:tc>
          <w:tcPr>
            <w:tcW w:w="1940" w:type="dxa"/>
            <w:vAlign w:val="bottom"/>
            <w:tcBorders>
              <w:top w:val="single" w:sz="8" w:color="auto"/>
              <w:left w:val="single" w:sz="8" w:color="auto"/>
            </w:tcBorders>
            <w:shd w:val="clear" w:color="auto" w:fill="D1F6FF"/>
          </w:tcPr>
          <w:p>
            <w:pPr>
              <w:ind w:left="940"/>
              <w:spacing w:after="0" w:line="158" w:lineRule="exact"/>
              <w:rPr>
                <w:sz w:val="20"/>
                <w:szCs w:val="20"/>
                <w:color w:val="auto"/>
              </w:rPr>
            </w:pPr>
            <w:r>
              <w:rPr>
                <w:rFonts w:ascii="Arial" w:cs="Arial" w:eastAsia="Arial" w:hAnsi="Arial"/>
                <w:sz w:val="14"/>
                <w:szCs w:val="14"/>
                <w:b w:val="1"/>
                <w:bCs w:val="1"/>
                <w:color w:val="auto"/>
              </w:rPr>
              <w:t>Name</w:t>
            </w:r>
          </w:p>
        </w:tc>
        <w:tc>
          <w:tcPr>
            <w:tcW w:w="1960" w:type="dxa"/>
            <w:vAlign w:val="bottom"/>
            <w:tcBorders>
              <w:top w:val="single" w:sz="8" w:color="auto"/>
            </w:tcBorders>
            <w:shd w:val="clear" w:color="auto" w:fill="D1F6FF"/>
          </w:tcPr>
          <w:p>
            <w:pPr>
              <w:jc w:val="center"/>
              <w:ind w:left="368"/>
              <w:spacing w:after="0" w:line="158" w:lineRule="exact"/>
              <w:rPr>
                <w:sz w:val="20"/>
                <w:szCs w:val="20"/>
                <w:color w:val="auto"/>
              </w:rPr>
            </w:pPr>
            <w:r>
              <w:rPr>
                <w:rFonts w:ascii="Arial" w:cs="Arial" w:eastAsia="Arial" w:hAnsi="Arial"/>
                <w:sz w:val="14"/>
                <w:szCs w:val="14"/>
                <w:b w:val="1"/>
                <w:bCs w:val="1"/>
                <w:color w:val="auto"/>
                <w:w w:val="92"/>
              </w:rPr>
              <w:t>Fees Earned or Paid in</w:t>
            </w:r>
          </w:p>
        </w:tc>
        <w:tc>
          <w:tcPr>
            <w:tcW w:w="1280" w:type="dxa"/>
            <w:vAlign w:val="bottom"/>
            <w:tcBorders>
              <w:top w:val="single" w:sz="8" w:color="auto"/>
            </w:tcBorders>
            <w:shd w:val="clear" w:color="auto" w:fill="D1F6FF"/>
          </w:tcPr>
          <w:p>
            <w:pPr>
              <w:jc w:val="center"/>
              <w:spacing w:after="0" w:line="157" w:lineRule="exact"/>
              <w:rPr>
                <w:sz w:val="20"/>
                <w:szCs w:val="20"/>
                <w:color w:val="auto"/>
              </w:rPr>
            </w:pPr>
            <w:r>
              <w:rPr>
                <w:rFonts w:ascii="Arial" w:cs="Arial" w:eastAsia="Arial" w:hAnsi="Arial"/>
                <w:sz w:val="14"/>
                <w:szCs w:val="14"/>
                <w:b w:val="1"/>
                <w:bCs w:val="1"/>
                <w:color w:val="auto"/>
                <w:w w:val="90"/>
              </w:rPr>
              <w:t xml:space="preserve">Stock Awards ($) </w:t>
            </w:r>
            <w:r>
              <w:rPr>
                <w:rFonts w:ascii="Arial" w:cs="Arial" w:eastAsia="Arial" w:hAnsi="Arial"/>
                <w:sz w:val="18"/>
                <w:szCs w:val="18"/>
                <w:b w:val="1"/>
                <w:bCs w:val="1"/>
                <w:color w:val="auto"/>
                <w:w w:val="90"/>
                <w:vertAlign w:val="superscript"/>
              </w:rPr>
              <w:t>(1)</w:t>
            </w:r>
          </w:p>
        </w:tc>
        <w:tc>
          <w:tcPr>
            <w:tcW w:w="1560" w:type="dxa"/>
            <w:vAlign w:val="bottom"/>
            <w:tcBorders>
              <w:top w:val="single" w:sz="8" w:color="auto"/>
            </w:tcBorders>
            <w:shd w:val="clear" w:color="auto" w:fill="D1F6FF"/>
          </w:tcPr>
          <w:p>
            <w:pPr>
              <w:jc w:val="center"/>
              <w:ind w:right="169"/>
              <w:spacing w:after="0" w:line="157" w:lineRule="exact"/>
              <w:rPr>
                <w:sz w:val="20"/>
                <w:szCs w:val="20"/>
                <w:color w:val="auto"/>
              </w:rPr>
            </w:pPr>
            <w:r>
              <w:rPr>
                <w:rFonts w:ascii="Arial" w:cs="Arial" w:eastAsia="Arial" w:hAnsi="Arial"/>
                <w:sz w:val="14"/>
                <w:szCs w:val="14"/>
                <w:b w:val="1"/>
                <w:bCs w:val="1"/>
                <w:color w:val="auto"/>
                <w:w w:val="91"/>
              </w:rPr>
              <w:t xml:space="preserve">Option Awards ($) </w:t>
            </w:r>
            <w:r>
              <w:rPr>
                <w:rFonts w:ascii="Arial" w:cs="Arial" w:eastAsia="Arial" w:hAnsi="Arial"/>
                <w:sz w:val="18"/>
                <w:szCs w:val="18"/>
                <w:b w:val="1"/>
                <w:bCs w:val="1"/>
                <w:color w:val="auto"/>
                <w:w w:val="91"/>
                <w:vertAlign w:val="superscript"/>
              </w:rPr>
              <w:t>(1)</w:t>
            </w:r>
          </w:p>
        </w:tc>
        <w:tc>
          <w:tcPr>
            <w:tcW w:w="1120" w:type="dxa"/>
            <w:vAlign w:val="bottom"/>
            <w:tcBorders>
              <w:top w:val="single" w:sz="8" w:color="auto"/>
              <w:right w:val="single" w:sz="8" w:color="auto"/>
            </w:tcBorders>
            <w:shd w:val="clear" w:color="auto" w:fill="D1F6FF"/>
          </w:tcPr>
          <w:p>
            <w:pPr>
              <w:jc w:val="center"/>
              <w:ind w:right="48"/>
              <w:spacing w:after="0" w:line="158" w:lineRule="exact"/>
              <w:rPr>
                <w:sz w:val="20"/>
                <w:szCs w:val="20"/>
                <w:color w:val="auto"/>
              </w:rPr>
            </w:pPr>
            <w:r>
              <w:rPr>
                <w:rFonts w:ascii="Arial" w:cs="Arial" w:eastAsia="Arial" w:hAnsi="Arial"/>
                <w:sz w:val="14"/>
                <w:szCs w:val="14"/>
                <w:b w:val="1"/>
                <w:bCs w:val="1"/>
                <w:color w:val="auto"/>
                <w:w w:val="95"/>
              </w:rPr>
              <w:t>Total ($)</w:t>
            </w:r>
          </w:p>
        </w:tc>
      </w:tr>
      <w:tr>
        <w:trPr>
          <w:trHeight w:val="171"/>
        </w:trPr>
        <w:tc>
          <w:tcPr>
            <w:tcW w:w="1940" w:type="dxa"/>
            <w:vAlign w:val="bottom"/>
            <w:tcBorders>
              <w:left w:val="single" w:sz="8" w:color="auto"/>
              <w:bottom w:val="single" w:sz="8" w:color="auto"/>
            </w:tcBorders>
            <w:shd w:val="clear" w:color="auto" w:fill="D1F6FF"/>
          </w:tcPr>
          <w:p>
            <w:pPr>
              <w:spacing w:after="0"/>
              <w:rPr>
                <w:sz w:val="14"/>
                <w:szCs w:val="14"/>
                <w:color w:val="auto"/>
              </w:rPr>
            </w:pPr>
          </w:p>
        </w:tc>
        <w:tc>
          <w:tcPr>
            <w:tcW w:w="1960" w:type="dxa"/>
            <w:vAlign w:val="bottom"/>
            <w:tcBorders>
              <w:bottom w:val="single" w:sz="8" w:color="auto"/>
            </w:tcBorders>
            <w:shd w:val="clear" w:color="auto" w:fill="D1F6FF"/>
          </w:tcPr>
          <w:p>
            <w:pPr>
              <w:jc w:val="center"/>
              <w:ind w:left="388"/>
              <w:spacing w:after="0"/>
              <w:rPr>
                <w:sz w:val="20"/>
                <w:szCs w:val="20"/>
                <w:color w:val="auto"/>
              </w:rPr>
            </w:pPr>
            <w:r>
              <w:rPr>
                <w:rFonts w:ascii="Arial" w:cs="Arial" w:eastAsia="Arial" w:hAnsi="Arial"/>
                <w:sz w:val="14"/>
                <w:szCs w:val="14"/>
                <w:b w:val="1"/>
                <w:bCs w:val="1"/>
                <w:color w:val="auto"/>
                <w:w w:val="90"/>
              </w:rPr>
              <w:t>Cash ($)</w:t>
            </w:r>
          </w:p>
        </w:tc>
        <w:tc>
          <w:tcPr>
            <w:tcW w:w="1280" w:type="dxa"/>
            <w:vAlign w:val="bottom"/>
            <w:tcBorders>
              <w:bottom w:val="single" w:sz="8" w:color="auto"/>
            </w:tcBorders>
            <w:shd w:val="clear" w:color="auto" w:fill="D1F6FF"/>
          </w:tcPr>
          <w:p>
            <w:pPr>
              <w:spacing w:after="0"/>
              <w:rPr>
                <w:sz w:val="14"/>
                <w:szCs w:val="14"/>
                <w:color w:val="auto"/>
              </w:rPr>
            </w:pPr>
          </w:p>
        </w:tc>
        <w:tc>
          <w:tcPr>
            <w:tcW w:w="1560" w:type="dxa"/>
            <w:vAlign w:val="bottom"/>
            <w:tcBorders>
              <w:bottom w:val="single" w:sz="8" w:color="auto"/>
            </w:tcBorders>
            <w:shd w:val="clear" w:color="auto" w:fill="D1F6FF"/>
          </w:tcPr>
          <w:p>
            <w:pPr>
              <w:spacing w:after="0"/>
              <w:rPr>
                <w:sz w:val="14"/>
                <w:szCs w:val="14"/>
                <w:color w:val="auto"/>
              </w:rPr>
            </w:pPr>
          </w:p>
        </w:tc>
        <w:tc>
          <w:tcPr>
            <w:tcW w:w="1120" w:type="dxa"/>
            <w:vAlign w:val="bottom"/>
            <w:tcBorders>
              <w:bottom w:val="single" w:sz="8" w:color="auto"/>
              <w:right w:val="single" w:sz="8" w:color="auto"/>
            </w:tcBorders>
            <w:shd w:val="clear" w:color="auto" w:fill="D1F6FF"/>
          </w:tcPr>
          <w:p>
            <w:pPr>
              <w:spacing w:after="0"/>
              <w:rPr>
                <w:sz w:val="14"/>
                <w:szCs w:val="14"/>
                <w:color w:val="auto"/>
              </w:rPr>
            </w:pPr>
          </w:p>
        </w:tc>
      </w:tr>
      <w:tr>
        <w:trPr>
          <w:trHeight w:val="164"/>
        </w:trPr>
        <w:tc>
          <w:tcPr>
            <w:tcW w:w="1940" w:type="dxa"/>
            <w:vAlign w:val="bottom"/>
            <w:tcBorders>
              <w:left w:val="single" w:sz="8" w:color="auto"/>
            </w:tcBorders>
          </w:tcPr>
          <w:p>
            <w:pPr>
              <w:ind w:left="20"/>
              <w:spacing w:after="0" w:line="164" w:lineRule="exact"/>
              <w:rPr>
                <w:sz w:val="20"/>
                <w:szCs w:val="20"/>
                <w:color w:val="auto"/>
              </w:rPr>
            </w:pPr>
            <w:r>
              <w:rPr>
                <w:rFonts w:ascii="Arial" w:cs="Arial" w:eastAsia="Arial" w:hAnsi="Arial"/>
                <w:sz w:val="14"/>
                <w:szCs w:val="14"/>
                <w:color w:val="auto"/>
              </w:rPr>
              <w:t xml:space="preserve">Douglas L. Braunstein </w:t>
            </w:r>
            <w:r>
              <w:rPr>
                <w:rFonts w:ascii="Arial" w:cs="Arial" w:eastAsia="Arial" w:hAnsi="Arial"/>
                <w:sz w:val="18"/>
                <w:szCs w:val="18"/>
                <w:color w:val="auto"/>
                <w:vertAlign w:val="superscript"/>
              </w:rPr>
              <w:t>(2)</w:t>
            </w: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r>
      <w:tr>
        <w:trPr>
          <w:trHeight w:val="176"/>
        </w:trPr>
        <w:tc>
          <w:tcPr>
            <w:tcW w:w="19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Jeffrey M. Crowe</w:t>
            </w:r>
          </w:p>
        </w:tc>
        <w:tc>
          <w:tcPr>
            <w:tcW w:w="1960" w:type="dxa"/>
            <w:vAlign w:val="bottom"/>
          </w:tcPr>
          <w:p>
            <w:pPr>
              <w:jc w:val="center"/>
              <w:ind w:left="388"/>
              <w:spacing w:after="0"/>
              <w:rPr>
                <w:sz w:val="20"/>
                <w:szCs w:val="20"/>
                <w:color w:val="auto"/>
              </w:rPr>
            </w:pPr>
            <w:r>
              <w:rPr>
                <w:rFonts w:ascii="Arial" w:cs="Arial" w:eastAsia="Arial" w:hAnsi="Arial"/>
                <w:sz w:val="14"/>
                <w:szCs w:val="14"/>
                <w:color w:val="auto"/>
                <w:w w:val="88"/>
              </w:rPr>
              <w:t>21,000</w:t>
            </w:r>
          </w:p>
        </w:tc>
        <w:tc>
          <w:tcPr>
            <w:tcW w:w="1280" w:type="dxa"/>
            <w:vAlign w:val="bottom"/>
          </w:tcPr>
          <w:p>
            <w:pPr>
              <w:jc w:val="center"/>
              <w:ind w:left="9"/>
              <w:spacing w:after="0"/>
              <w:rPr>
                <w:sz w:val="20"/>
                <w:szCs w:val="20"/>
                <w:color w:val="auto"/>
              </w:rPr>
            </w:pPr>
            <w:r>
              <w:rPr>
                <w:rFonts w:ascii="Arial" w:cs="Arial" w:eastAsia="Arial" w:hAnsi="Arial"/>
                <w:sz w:val="14"/>
                <w:szCs w:val="14"/>
                <w:color w:val="auto"/>
                <w:w w:val="93"/>
              </w:rPr>
              <w:t>55,078</w:t>
            </w:r>
          </w:p>
        </w:tc>
        <w:tc>
          <w:tcPr>
            <w:tcW w:w="1560" w:type="dxa"/>
            <w:vAlign w:val="bottom"/>
          </w:tcPr>
          <w:p>
            <w:pPr>
              <w:jc w:val="center"/>
              <w:ind w:right="109"/>
              <w:spacing w:after="0"/>
              <w:rPr>
                <w:sz w:val="20"/>
                <w:szCs w:val="20"/>
                <w:color w:val="auto"/>
              </w:rPr>
            </w:pPr>
            <w:r>
              <w:rPr>
                <w:rFonts w:ascii="Arial" w:cs="Arial" w:eastAsia="Arial" w:hAnsi="Arial"/>
                <w:sz w:val="14"/>
                <w:szCs w:val="14"/>
                <w:color w:val="auto"/>
                <w:w w:val="90"/>
              </w:rPr>
              <w:t>109,114</w:t>
            </w:r>
          </w:p>
        </w:tc>
        <w:tc>
          <w:tcPr>
            <w:tcW w:w="112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auto"/>
                <w:w w:val="94"/>
              </w:rPr>
              <w:t>185,192</w:t>
            </w:r>
          </w:p>
        </w:tc>
      </w:tr>
      <w:tr>
        <w:trPr>
          <w:trHeight w:val="176"/>
        </w:trPr>
        <w:tc>
          <w:tcPr>
            <w:tcW w:w="19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Erez Shachar</w:t>
            </w:r>
          </w:p>
        </w:tc>
        <w:tc>
          <w:tcPr>
            <w:tcW w:w="1960" w:type="dxa"/>
            <w:vAlign w:val="bottom"/>
          </w:tcPr>
          <w:p>
            <w:pPr>
              <w:jc w:val="center"/>
              <w:ind w:left="388"/>
              <w:spacing w:after="0"/>
              <w:rPr>
                <w:sz w:val="20"/>
                <w:szCs w:val="20"/>
                <w:color w:val="auto"/>
              </w:rPr>
            </w:pPr>
            <w:r>
              <w:rPr>
                <w:rFonts w:ascii="Arial" w:cs="Arial" w:eastAsia="Arial" w:hAnsi="Arial"/>
                <w:sz w:val="14"/>
                <w:szCs w:val="14"/>
                <w:color w:val="auto"/>
                <w:w w:val="88"/>
              </w:rPr>
              <w:t>26,000</w:t>
            </w:r>
          </w:p>
        </w:tc>
        <w:tc>
          <w:tcPr>
            <w:tcW w:w="1280" w:type="dxa"/>
            <w:vAlign w:val="bottom"/>
          </w:tcPr>
          <w:p>
            <w:pPr>
              <w:jc w:val="center"/>
              <w:ind w:left="9"/>
              <w:spacing w:after="0"/>
              <w:rPr>
                <w:sz w:val="20"/>
                <w:szCs w:val="20"/>
                <w:color w:val="auto"/>
              </w:rPr>
            </w:pPr>
            <w:r>
              <w:rPr>
                <w:rFonts w:ascii="Arial" w:cs="Arial" w:eastAsia="Arial" w:hAnsi="Arial"/>
                <w:sz w:val="14"/>
                <w:szCs w:val="14"/>
                <w:color w:val="auto"/>
                <w:w w:val="93"/>
              </w:rPr>
              <w:t>55,078</w:t>
            </w:r>
          </w:p>
        </w:tc>
        <w:tc>
          <w:tcPr>
            <w:tcW w:w="1560" w:type="dxa"/>
            <w:vAlign w:val="bottom"/>
          </w:tcPr>
          <w:p>
            <w:pPr>
              <w:jc w:val="center"/>
              <w:ind w:right="109"/>
              <w:spacing w:after="0"/>
              <w:rPr>
                <w:sz w:val="20"/>
                <w:szCs w:val="20"/>
                <w:color w:val="auto"/>
              </w:rPr>
            </w:pPr>
            <w:r>
              <w:rPr>
                <w:rFonts w:ascii="Arial" w:cs="Arial" w:eastAsia="Arial" w:hAnsi="Arial"/>
                <w:sz w:val="14"/>
                <w:szCs w:val="14"/>
                <w:color w:val="auto"/>
                <w:w w:val="90"/>
              </w:rPr>
              <w:t>109,114</w:t>
            </w:r>
          </w:p>
        </w:tc>
        <w:tc>
          <w:tcPr>
            <w:tcW w:w="112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auto"/>
                <w:w w:val="94"/>
              </w:rPr>
              <w:t>190,192</w:t>
            </w:r>
          </w:p>
        </w:tc>
      </w:tr>
      <w:tr>
        <w:trPr>
          <w:trHeight w:val="175"/>
        </w:trPr>
        <w:tc>
          <w:tcPr>
            <w:tcW w:w="19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Curtis Warfield</w:t>
            </w:r>
          </w:p>
        </w:tc>
        <w:tc>
          <w:tcPr>
            <w:tcW w:w="1960" w:type="dxa"/>
            <w:vAlign w:val="bottom"/>
          </w:tcPr>
          <w:p>
            <w:pPr>
              <w:jc w:val="center"/>
              <w:ind w:left="388"/>
              <w:spacing w:after="0"/>
              <w:rPr>
                <w:sz w:val="20"/>
                <w:szCs w:val="20"/>
                <w:color w:val="auto"/>
              </w:rPr>
            </w:pPr>
            <w:r>
              <w:rPr>
                <w:rFonts w:ascii="Arial" w:cs="Arial" w:eastAsia="Arial" w:hAnsi="Arial"/>
                <w:sz w:val="14"/>
                <w:szCs w:val="14"/>
                <w:color w:val="auto"/>
                <w:w w:val="88"/>
              </w:rPr>
              <w:t>31,500</w:t>
            </w:r>
          </w:p>
        </w:tc>
        <w:tc>
          <w:tcPr>
            <w:tcW w:w="1280" w:type="dxa"/>
            <w:vAlign w:val="bottom"/>
          </w:tcPr>
          <w:p>
            <w:pPr>
              <w:jc w:val="center"/>
              <w:ind w:left="9"/>
              <w:spacing w:after="0"/>
              <w:rPr>
                <w:sz w:val="20"/>
                <w:szCs w:val="20"/>
                <w:color w:val="auto"/>
              </w:rPr>
            </w:pPr>
            <w:r>
              <w:rPr>
                <w:rFonts w:ascii="Arial" w:cs="Arial" w:eastAsia="Arial" w:hAnsi="Arial"/>
                <w:sz w:val="14"/>
                <w:szCs w:val="14"/>
                <w:color w:val="auto"/>
                <w:w w:val="93"/>
              </w:rPr>
              <w:t>55,078</w:t>
            </w:r>
          </w:p>
        </w:tc>
        <w:tc>
          <w:tcPr>
            <w:tcW w:w="1560" w:type="dxa"/>
            <w:vAlign w:val="bottom"/>
          </w:tcPr>
          <w:p>
            <w:pPr>
              <w:jc w:val="center"/>
              <w:ind w:right="109"/>
              <w:spacing w:after="0"/>
              <w:rPr>
                <w:sz w:val="20"/>
                <w:szCs w:val="20"/>
                <w:color w:val="auto"/>
              </w:rPr>
            </w:pPr>
            <w:r>
              <w:rPr>
                <w:rFonts w:ascii="Arial" w:cs="Arial" w:eastAsia="Arial" w:hAnsi="Arial"/>
                <w:sz w:val="14"/>
                <w:szCs w:val="14"/>
                <w:color w:val="auto"/>
                <w:w w:val="90"/>
              </w:rPr>
              <w:t>322,550</w:t>
            </w:r>
          </w:p>
        </w:tc>
        <w:tc>
          <w:tcPr>
            <w:tcW w:w="112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auto"/>
                <w:w w:val="94"/>
              </w:rPr>
              <w:t>409,128</w:t>
            </w:r>
          </w:p>
        </w:tc>
      </w:tr>
      <w:tr>
        <w:trPr>
          <w:trHeight w:val="176"/>
        </w:trPr>
        <w:tc>
          <w:tcPr>
            <w:tcW w:w="19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Jacqueline Yeaney</w:t>
            </w:r>
          </w:p>
        </w:tc>
        <w:tc>
          <w:tcPr>
            <w:tcW w:w="1960" w:type="dxa"/>
            <w:vAlign w:val="bottom"/>
          </w:tcPr>
          <w:p>
            <w:pPr>
              <w:jc w:val="center"/>
              <w:ind w:left="388"/>
              <w:spacing w:after="0"/>
              <w:rPr>
                <w:sz w:val="20"/>
                <w:szCs w:val="20"/>
                <w:color w:val="auto"/>
              </w:rPr>
            </w:pPr>
            <w:r>
              <w:rPr>
                <w:rFonts w:ascii="Arial" w:cs="Arial" w:eastAsia="Arial" w:hAnsi="Arial"/>
                <w:sz w:val="14"/>
                <w:szCs w:val="14"/>
                <w:color w:val="auto"/>
                <w:w w:val="88"/>
              </w:rPr>
              <w:t>21,000</w:t>
            </w:r>
          </w:p>
        </w:tc>
        <w:tc>
          <w:tcPr>
            <w:tcW w:w="1280" w:type="dxa"/>
            <w:vAlign w:val="bottom"/>
          </w:tcPr>
          <w:p>
            <w:pPr>
              <w:jc w:val="center"/>
              <w:ind w:left="9"/>
              <w:spacing w:after="0"/>
              <w:rPr>
                <w:sz w:val="20"/>
                <w:szCs w:val="20"/>
                <w:color w:val="auto"/>
              </w:rPr>
            </w:pPr>
            <w:r>
              <w:rPr>
                <w:rFonts w:ascii="Arial" w:cs="Arial" w:eastAsia="Arial" w:hAnsi="Arial"/>
                <w:sz w:val="14"/>
                <w:szCs w:val="14"/>
                <w:color w:val="auto"/>
                <w:w w:val="93"/>
              </w:rPr>
              <w:t>55,078</w:t>
            </w:r>
          </w:p>
        </w:tc>
        <w:tc>
          <w:tcPr>
            <w:tcW w:w="1560" w:type="dxa"/>
            <w:vAlign w:val="bottom"/>
          </w:tcPr>
          <w:p>
            <w:pPr>
              <w:jc w:val="center"/>
              <w:ind w:right="109"/>
              <w:spacing w:after="0"/>
              <w:rPr>
                <w:sz w:val="20"/>
                <w:szCs w:val="20"/>
                <w:color w:val="auto"/>
              </w:rPr>
            </w:pPr>
            <w:r>
              <w:rPr>
                <w:rFonts w:ascii="Arial" w:cs="Arial" w:eastAsia="Arial" w:hAnsi="Arial"/>
                <w:sz w:val="14"/>
                <w:szCs w:val="14"/>
                <w:color w:val="auto"/>
                <w:w w:val="90"/>
              </w:rPr>
              <w:t>322,550</w:t>
            </w:r>
          </w:p>
        </w:tc>
        <w:tc>
          <w:tcPr>
            <w:tcW w:w="112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auto"/>
                <w:w w:val="94"/>
              </w:rPr>
              <w:t>398,628</w:t>
            </w:r>
          </w:p>
        </w:tc>
      </w:tr>
      <w:tr>
        <w:trPr>
          <w:trHeight w:val="175"/>
        </w:trPr>
        <w:tc>
          <w:tcPr>
            <w:tcW w:w="19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Charles Berg</w:t>
            </w:r>
          </w:p>
        </w:tc>
        <w:tc>
          <w:tcPr>
            <w:tcW w:w="1960" w:type="dxa"/>
            <w:vAlign w:val="bottom"/>
          </w:tcPr>
          <w:p>
            <w:pPr>
              <w:jc w:val="center"/>
              <w:ind w:left="388"/>
              <w:spacing w:after="0"/>
              <w:rPr>
                <w:sz w:val="20"/>
                <w:szCs w:val="20"/>
                <w:color w:val="auto"/>
              </w:rPr>
            </w:pPr>
            <w:r>
              <w:rPr>
                <w:rFonts w:ascii="Arial" w:cs="Arial" w:eastAsia="Arial" w:hAnsi="Arial"/>
                <w:sz w:val="14"/>
                <w:szCs w:val="14"/>
                <w:color w:val="auto"/>
                <w:w w:val="88"/>
              </w:rPr>
              <w:t>21,000</w:t>
            </w:r>
          </w:p>
        </w:tc>
        <w:tc>
          <w:tcPr>
            <w:tcW w:w="1280" w:type="dxa"/>
            <w:vAlign w:val="bottom"/>
          </w:tcPr>
          <w:p>
            <w:pPr>
              <w:jc w:val="center"/>
              <w:ind w:left="9"/>
              <w:spacing w:after="0"/>
              <w:rPr>
                <w:sz w:val="20"/>
                <w:szCs w:val="20"/>
                <w:color w:val="auto"/>
              </w:rPr>
            </w:pPr>
            <w:r>
              <w:rPr>
                <w:rFonts w:ascii="Arial" w:cs="Arial" w:eastAsia="Arial" w:hAnsi="Arial"/>
                <w:sz w:val="14"/>
                <w:szCs w:val="14"/>
                <w:color w:val="auto"/>
                <w:w w:val="93"/>
              </w:rPr>
              <w:t>55,078</w:t>
            </w:r>
          </w:p>
        </w:tc>
        <w:tc>
          <w:tcPr>
            <w:tcW w:w="1560" w:type="dxa"/>
            <w:vAlign w:val="bottom"/>
          </w:tcPr>
          <w:p>
            <w:pPr>
              <w:jc w:val="center"/>
              <w:ind w:right="109"/>
              <w:spacing w:after="0"/>
              <w:rPr>
                <w:sz w:val="20"/>
                <w:szCs w:val="20"/>
                <w:color w:val="auto"/>
              </w:rPr>
            </w:pPr>
            <w:r>
              <w:rPr>
                <w:rFonts w:ascii="Arial" w:cs="Arial" w:eastAsia="Arial" w:hAnsi="Arial"/>
                <w:sz w:val="14"/>
                <w:szCs w:val="14"/>
                <w:color w:val="auto"/>
                <w:w w:val="90"/>
              </w:rPr>
              <w:t>322,550</w:t>
            </w:r>
          </w:p>
        </w:tc>
        <w:tc>
          <w:tcPr>
            <w:tcW w:w="112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auto"/>
                <w:w w:val="94"/>
              </w:rPr>
              <w:t>398,628</w:t>
            </w:r>
          </w:p>
        </w:tc>
      </w:tr>
      <w:tr>
        <w:trPr>
          <w:trHeight w:val="181"/>
        </w:trPr>
        <w:tc>
          <w:tcPr>
            <w:tcW w:w="19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Madhu Pawar</w:t>
            </w:r>
          </w:p>
        </w:tc>
        <w:tc>
          <w:tcPr>
            <w:tcW w:w="19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w w:val="88"/>
              </w:rPr>
              <w:t>21,000</w:t>
            </w:r>
          </w:p>
        </w:tc>
        <w:tc>
          <w:tcPr>
            <w:tcW w:w="128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color w:val="auto"/>
                <w:w w:val="93"/>
              </w:rPr>
              <w:t>55,078</w:t>
            </w:r>
          </w:p>
        </w:tc>
        <w:tc>
          <w:tcPr>
            <w:tcW w:w="15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color w:val="auto"/>
                <w:w w:val="90"/>
              </w:rPr>
              <w:t>322,550</w:t>
            </w:r>
          </w:p>
        </w:tc>
        <w:tc>
          <w:tcPr>
            <w:tcW w:w="112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color w:val="auto"/>
                <w:w w:val="94"/>
              </w:rPr>
              <w:t>398,628</w:t>
            </w:r>
          </w:p>
        </w:tc>
      </w:tr>
    </w:tbl>
    <w:p>
      <w:pPr>
        <w:spacing w:after="0" w:line="89" w:lineRule="exact"/>
        <w:rPr>
          <w:sz w:val="20"/>
          <w:szCs w:val="20"/>
          <w:color w:val="auto"/>
        </w:rPr>
      </w:pPr>
    </w:p>
    <w:p>
      <w:pPr>
        <w:jc w:val="both"/>
        <w:ind w:firstLine="8"/>
        <w:spacing w:after="0" w:line="257" w:lineRule="auto"/>
        <w:tabs>
          <w:tab w:leader="none" w:pos="208"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RSUs and stock options granted during 2021 computed in accordance with ASC Topic 718, rather than the amounts paid to or realized by the named individual. We provide information regarding the assumptions used to calculate the value of all RSUs and option awards made to our directors in Note 13 to the consolidated financial statements included in this Annual Report.</w:t>
      </w:r>
    </w:p>
    <w:p>
      <w:pPr>
        <w:spacing w:after="0" w:line="22" w:lineRule="exact"/>
        <w:rPr>
          <w:rFonts w:ascii="Arial" w:cs="Arial" w:eastAsia="Arial" w:hAnsi="Arial"/>
          <w:sz w:val="14"/>
          <w:szCs w:val="14"/>
          <w:color w:val="auto"/>
        </w:rPr>
      </w:pPr>
    </w:p>
    <w:p>
      <w:pPr>
        <w:ind w:left="220" w:hanging="212"/>
        <w:spacing w:after="0"/>
        <w:tabs>
          <w:tab w:leader="none" w:pos="2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Mr. Braunstein served as our interim Chief Executive Officer for part of 2021; as such, his compensation earned as a director is disclosed in the Summary Compensation Table, above.</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 below shows the aggregate numbers of option awards (exercisable and unexercisable) and unvested stock awards held as of December 31, 2021 by each non-employee director.</w:t>
      </w:r>
    </w:p>
    <w:p>
      <w:pPr>
        <w:spacing w:after="0" w:line="57" w:lineRule="exact"/>
        <w:rPr>
          <w:sz w:val="20"/>
          <w:szCs w:val="20"/>
          <w:color w:val="auto"/>
        </w:rPr>
      </w:pPr>
    </w:p>
    <w:tbl>
      <w:tblPr>
        <w:tblLayout w:type="fixed"/>
        <w:tblInd w:w="1590" w:type="dxa"/>
        <w:tblCellMar>
          <w:top w:w="0" w:type="dxa"/>
          <w:left w:w="0" w:type="dxa"/>
          <w:bottom w:w="0" w:type="dxa"/>
          <w:right w:w="0" w:type="dxa"/>
        </w:tblCellMar>
      </w:tblPr>
      <w:tr>
        <w:trPr>
          <w:trHeight w:val="153"/>
        </w:trPr>
        <w:tc>
          <w:tcPr>
            <w:tcW w:w="2360" w:type="dxa"/>
            <w:vAlign w:val="bottom"/>
            <w:tcBorders>
              <w:top w:val="single" w:sz="8" w:color="auto"/>
              <w:left w:val="single" w:sz="8" w:color="auto"/>
            </w:tcBorders>
            <w:shd w:val="clear" w:color="auto" w:fill="D1F6FF"/>
          </w:tcPr>
          <w:p>
            <w:pPr>
              <w:ind w:left="1300"/>
              <w:spacing w:after="0" w:line="153" w:lineRule="exact"/>
              <w:rPr>
                <w:sz w:val="20"/>
                <w:szCs w:val="20"/>
                <w:color w:val="auto"/>
              </w:rPr>
            </w:pPr>
            <w:r>
              <w:rPr>
                <w:rFonts w:ascii="Arial" w:cs="Arial" w:eastAsia="Arial" w:hAnsi="Arial"/>
                <w:sz w:val="14"/>
                <w:szCs w:val="14"/>
                <w:b w:val="1"/>
                <w:bCs w:val="1"/>
                <w:color w:val="auto"/>
              </w:rPr>
              <w:t>Name</w:t>
            </w:r>
          </w:p>
        </w:tc>
        <w:tc>
          <w:tcPr>
            <w:tcW w:w="2840" w:type="dxa"/>
            <w:vAlign w:val="bottom"/>
            <w:tcBorders>
              <w:top w:val="single" w:sz="8" w:color="auto"/>
            </w:tcBorders>
            <w:shd w:val="clear" w:color="auto" w:fill="D1F6FF"/>
          </w:tcPr>
          <w:p>
            <w:pPr>
              <w:jc w:val="center"/>
              <w:ind w:left="428"/>
              <w:spacing w:after="0" w:line="153" w:lineRule="exact"/>
              <w:rPr>
                <w:sz w:val="20"/>
                <w:szCs w:val="20"/>
                <w:color w:val="auto"/>
              </w:rPr>
            </w:pPr>
            <w:r>
              <w:rPr>
                <w:rFonts w:ascii="Arial" w:cs="Arial" w:eastAsia="Arial" w:hAnsi="Arial"/>
                <w:sz w:val="14"/>
                <w:szCs w:val="14"/>
                <w:b w:val="1"/>
                <w:bCs w:val="1"/>
                <w:color w:val="auto"/>
                <w:w w:val="93"/>
              </w:rPr>
              <w:t>Option Awards Outstanding at</w:t>
            </w:r>
          </w:p>
        </w:tc>
        <w:tc>
          <w:tcPr>
            <w:tcW w:w="2900" w:type="dxa"/>
            <w:vAlign w:val="bottom"/>
            <w:tcBorders>
              <w:top w:val="single" w:sz="8" w:color="auto"/>
              <w:right w:val="single" w:sz="8" w:color="auto"/>
            </w:tcBorders>
            <w:shd w:val="clear" w:color="auto" w:fill="D1F6FF"/>
          </w:tcPr>
          <w:p>
            <w:pPr>
              <w:jc w:val="center"/>
              <w:ind w:right="8"/>
              <w:spacing w:after="0" w:line="153" w:lineRule="exact"/>
              <w:rPr>
                <w:sz w:val="20"/>
                <w:szCs w:val="20"/>
                <w:color w:val="auto"/>
              </w:rPr>
            </w:pPr>
            <w:r>
              <w:rPr>
                <w:rFonts w:ascii="Arial" w:cs="Arial" w:eastAsia="Arial" w:hAnsi="Arial"/>
                <w:sz w:val="14"/>
                <w:szCs w:val="14"/>
                <w:b w:val="1"/>
                <w:bCs w:val="1"/>
                <w:color w:val="auto"/>
                <w:w w:val="92"/>
              </w:rPr>
              <w:t>Unvested Stock Awards Outstanding at</w:t>
            </w:r>
          </w:p>
        </w:tc>
      </w:tr>
      <w:tr>
        <w:trPr>
          <w:trHeight w:val="171"/>
        </w:trPr>
        <w:tc>
          <w:tcPr>
            <w:tcW w:w="2360" w:type="dxa"/>
            <w:vAlign w:val="bottom"/>
            <w:tcBorders>
              <w:left w:val="single" w:sz="8" w:color="auto"/>
              <w:bottom w:val="single" w:sz="8" w:color="auto"/>
            </w:tcBorders>
            <w:shd w:val="clear" w:color="auto" w:fill="D1F6FF"/>
          </w:tcPr>
          <w:p>
            <w:pPr>
              <w:spacing w:after="0"/>
              <w:rPr>
                <w:sz w:val="14"/>
                <w:szCs w:val="14"/>
                <w:color w:val="auto"/>
              </w:rPr>
            </w:pPr>
          </w:p>
        </w:tc>
        <w:tc>
          <w:tcPr>
            <w:tcW w:w="2840" w:type="dxa"/>
            <w:vAlign w:val="bottom"/>
            <w:tcBorders>
              <w:bottom w:val="single" w:sz="8" w:color="auto"/>
            </w:tcBorders>
            <w:shd w:val="clear" w:color="auto" w:fill="D1F6FF"/>
          </w:tcPr>
          <w:p>
            <w:pPr>
              <w:jc w:val="center"/>
              <w:ind w:left="468"/>
              <w:spacing w:after="0"/>
              <w:rPr>
                <w:sz w:val="20"/>
                <w:szCs w:val="20"/>
                <w:color w:val="auto"/>
              </w:rPr>
            </w:pPr>
            <w:r>
              <w:rPr>
                <w:rFonts w:ascii="Arial" w:cs="Arial" w:eastAsia="Arial" w:hAnsi="Arial"/>
                <w:sz w:val="14"/>
                <w:szCs w:val="14"/>
                <w:b w:val="1"/>
                <w:bCs w:val="1"/>
                <w:color w:val="auto"/>
                <w:w w:val="93"/>
              </w:rPr>
              <w:t>2021 Fiscal Year End</w:t>
            </w:r>
          </w:p>
        </w:tc>
        <w:tc>
          <w:tcPr>
            <w:tcW w:w="2900" w:type="dxa"/>
            <w:vAlign w:val="bottom"/>
            <w:tcBorders>
              <w:bottom w:val="single" w:sz="8" w:color="auto"/>
              <w:right w:val="single" w:sz="8" w:color="auto"/>
            </w:tcBorders>
            <w:shd w:val="clear" w:color="auto" w:fill="D1F6FF"/>
          </w:tcPr>
          <w:p>
            <w:pPr>
              <w:jc w:val="center"/>
              <w:spacing w:after="0"/>
              <w:rPr>
                <w:sz w:val="20"/>
                <w:szCs w:val="20"/>
                <w:color w:val="auto"/>
              </w:rPr>
            </w:pPr>
            <w:r>
              <w:rPr>
                <w:rFonts w:ascii="Arial" w:cs="Arial" w:eastAsia="Arial" w:hAnsi="Arial"/>
                <w:sz w:val="14"/>
                <w:szCs w:val="14"/>
                <w:b w:val="1"/>
                <w:bCs w:val="1"/>
                <w:color w:val="auto"/>
                <w:w w:val="93"/>
              </w:rPr>
              <w:t>2021 Fiscal Year End</w:t>
            </w:r>
          </w:p>
        </w:tc>
      </w:tr>
      <w:tr>
        <w:trPr>
          <w:trHeight w:val="164"/>
        </w:trPr>
        <w:tc>
          <w:tcPr>
            <w:tcW w:w="236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Douglas L. Braunstein</w:t>
            </w:r>
          </w:p>
        </w:tc>
        <w:tc>
          <w:tcPr>
            <w:tcW w:w="2840" w:type="dxa"/>
            <w:vAlign w:val="bottom"/>
          </w:tcPr>
          <w:p>
            <w:pPr>
              <w:jc w:val="center"/>
              <w:ind w:left="468"/>
              <w:spacing w:after="0"/>
              <w:rPr>
                <w:sz w:val="20"/>
                <w:szCs w:val="20"/>
                <w:color w:val="auto"/>
              </w:rPr>
            </w:pPr>
            <w:r>
              <w:rPr>
                <w:rFonts w:ascii="Arial" w:cs="Arial" w:eastAsia="Arial" w:hAnsi="Arial"/>
                <w:sz w:val="14"/>
                <w:szCs w:val="14"/>
                <w:color w:val="auto"/>
                <w:w w:val="88"/>
              </w:rPr>
              <w:t>63,402</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15,384</w:t>
            </w:r>
          </w:p>
        </w:tc>
      </w:tr>
      <w:tr>
        <w:trPr>
          <w:trHeight w:val="176"/>
        </w:trPr>
        <w:tc>
          <w:tcPr>
            <w:tcW w:w="236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Jeffrey M. Crowe</w:t>
            </w:r>
          </w:p>
        </w:tc>
        <w:tc>
          <w:tcPr>
            <w:tcW w:w="2840" w:type="dxa"/>
            <w:vAlign w:val="bottom"/>
          </w:tcPr>
          <w:p>
            <w:pPr>
              <w:jc w:val="center"/>
              <w:ind w:left="468"/>
              <w:spacing w:after="0"/>
              <w:rPr>
                <w:sz w:val="20"/>
                <w:szCs w:val="20"/>
                <w:color w:val="auto"/>
              </w:rPr>
            </w:pPr>
            <w:r>
              <w:rPr>
                <w:rFonts w:ascii="Arial" w:cs="Arial" w:eastAsia="Arial" w:hAnsi="Arial"/>
                <w:sz w:val="14"/>
                <w:szCs w:val="14"/>
                <w:color w:val="auto"/>
                <w:w w:val="88"/>
              </w:rPr>
              <w:t>63,402</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15,384</w:t>
            </w:r>
          </w:p>
        </w:tc>
      </w:tr>
      <w:tr>
        <w:trPr>
          <w:trHeight w:val="176"/>
        </w:trPr>
        <w:tc>
          <w:tcPr>
            <w:tcW w:w="236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Erez Shachar</w:t>
            </w:r>
          </w:p>
        </w:tc>
        <w:tc>
          <w:tcPr>
            <w:tcW w:w="2840" w:type="dxa"/>
            <w:vAlign w:val="bottom"/>
          </w:tcPr>
          <w:p>
            <w:pPr>
              <w:jc w:val="center"/>
              <w:ind w:left="468"/>
              <w:spacing w:after="0"/>
              <w:rPr>
                <w:sz w:val="20"/>
                <w:szCs w:val="20"/>
                <w:color w:val="auto"/>
              </w:rPr>
            </w:pPr>
            <w:r>
              <w:rPr>
                <w:rFonts w:ascii="Arial" w:cs="Arial" w:eastAsia="Arial" w:hAnsi="Arial"/>
                <w:sz w:val="14"/>
                <w:szCs w:val="14"/>
                <w:color w:val="auto"/>
                <w:w w:val="88"/>
              </w:rPr>
              <w:t>63,402</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15,384</w:t>
            </w:r>
          </w:p>
        </w:tc>
      </w:tr>
      <w:tr>
        <w:trPr>
          <w:trHeight w:val="175"/>
        </w:trPr>
        <w:tc>
          <w:tcPr>
            <w:tcW w:w="236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Curtis Warfield</w:t>
            </w:r>
          </w:p>
        </w:tc>
        <w:tc>
          <w:tcPr>
            <w:tcW w:w="2840" w:type="dxa"/>
            <w:vAlign w:val="bottom"/>
          </w:tcPr>
          <w:p>
            <w:pPr>
              <w:jc w:val="center"/>
              <w:ind w:left="468"/>
              <w:spacing w:after="0"/>
              <w:rPr>
                <w:sz w:val="20"/>
                <w:szCs w:val="20"/>
                <w:color w:val="auto"/>
              </w:rPr>
            </w:pPr>
            <w:r>
              <w:rPr>
                <w:rFonts w:ascii="Arial" w:cs="Arial" w:eastAsia="Arial" w:hAnsi="Arial"/>
                <w:sz w:val="14"/>
                <w:szCs w:val="14"/>
                <w:color w:val="auto"/>
                <w:w w:val="88"/>
              </w:rPr>
              <w:t>63,402</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15,384</w:t>
            </w:r>
          </w:p>
        </w:tc>
      </w:tr>
      <w:tr>
        <w:trPr>
          <w:trHeight w:val="176"/>
        </w:trPr>
        <w:tc>
          <w:tcPr>
            <w:tcW w:w="236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Jacqueline Yeaney</w:t>
            </w:r>
          </w:p>
        </w:tc>
        <w:tc>
          <w:tcPr>
            <w:tcW w:w="2840" w:type="dxa"/>
            <w:vAlign w:val="bottom"/>
          </w:tcPr>
          <w:p>
            <w:pPr>
              <w:jc w:val="center"/>
              <w:ind w:left="468"/>
              <w:spacing w:after="0"/>
              <w:rPr>
                <w:sz w:val="20"/>
                <w:szCs w:val="20"/>
                <w:color w:val="auto"/>
              </w:rPr>
            </w:pPr>
            <w:r>
              <w:rPr>
                <w:rFonts w:ascii="Arial" w:cs="Arial" w:eastAsia="Arial" w:hAnsi="Arial"/>
                <w:sz w:val="14"/>
                <w:szCs w:val="14"/>
                <w:color w:val="auto"/>
                <w:w w:val="88"/>
              </w:rPr>
              <w:t>63,402</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15,384</w:t>
            </w:r>
          </w:p>
        </w:tc>
      </w:tr>
      <w:tr>
        <w:trPr>
          <w:trHeight w:val="175"/>
        </w:trPr>
        <w:tc>
          <w:tcPr>
            <w:tcW w:w="236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Charles Berg</w:t>
            </w:r>
          </w:p>
        </w:tc>
        <w:tc>
          <w:tcPr>
            <w:tcW w:w="2840" w:type="dxa"/>
            <w:vAlign w:val="bottom"/>
          </w:tcPr>
          <w:p>
            <w:pPr>
              <w:jc w:val="center"/>
              <w:ind w:left="468"/>
              <w:spacing w:after="0"/>
              <w:rPr>
                <w:sz w:val="20"/>
                <w:szCs w:val="20"/>
                <w:color w:val="auto"/>
              </w:rPr>
            </w:pPr>
            <w:r>
              <w:rPr>
                <w:rFonts w:ascii="Arial" w:cs="Arial" w:eastAsia="Arial" w:hAnsi="Arial"/>
                <w:sz w:val="14"/>
                <w:szCs w:val="14"/>
                <w:color w:val="auto"/>
                <w:w w:val="88"/>
              </w:rPr>
              <w:t>63,402</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15,384</w:t>
            </w:r>
          </w:p>
        </w:tc>
      </w:tr>
      <w:tr>
        <w:trPr>
          <w:trHeight w:val="181"/>
        </w:trPr>
        <w:tc>
          <w:tcPr>
            <w:tcW w:w="23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Madhu Pawar</w:t>
            </w:r>
          </w:p>
        </w:tc>
        <w:tc>
          <w:tcPr>
            <w:tcW w:w="28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w w:val="88"/>
              </w:rPr>
              <w:t>63,402</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15,384</w:t>
            </w:r>
          </w:p>
        </w:tc>
      </w:tr>
    </w:tbl>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closing of the Business Combination, we adopted a Director Compensation Program, which provides for annual retainer fees and long-term equity awards for certain of our non-employee directors (each, an “Eligible Director”). The material terms of the Director Compensation Program are summarized below.</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Compensation</w:t>
      </w:r>
    </w:p>
    <w:p>
      <w:pPr>
        <w:spacing w:after="0" w:line="7"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 Retainer: $40,000</w:t>
      </w:r>
    </w:p>
    <w:p>
      <w:pPr>
        <w:ind w:left="1020" w:hanging="503"/>
        <w:spacing w:after="0" w:line="234"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 Committee Chair Retainer:</w:t>
      </w: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Audit: $20,000</w:t>
      </w: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Compensation: $10,000</w:t>
      </w:r>
    </w:p>
    <w:p>
      <w:pPr>
        <w:spacing w:after="0" w:line="182" w:lineRule="exact"/>
        <w:rPr>
          <w:sz w:val="20"/>
          <w:szCs w:val="20"/>
          <w:color w:val="auto"/>
        </w:rPr>
      </w:pPr>
    </w:p>
    <w:p>
      <w:pPr>
        <w:ind w:right="1640"/>
        <w:spacing w:after="0" w:line="360" w:lineRule="auto"/>
        <w:rPr>
          <w:sz w:val="20"/>
          <w:szCs w:val="20"/>
          <w:color w:val="auto"/>
        </w:rPr>
      </w:pPr>
      <w:r>
        <w:rPr>
          <w:rFonts w:ascii="Arial" w:cs="Arial" w:eastAsia="Arial" w:hAnsi="Arial"/>
          <w:sz w:val="18"/>
          <w:szCs w:val="18"/>
          <w:color w:val="auto"/>
        </w:rPr>
        <w:t xml:space="preserve">Annual cash retainers will be paid in quarterly installments in arrears and will be pro-rated for any partial calendar quarter of service. </w:t>
      </w:r>
      <w:r>
        <w:rPr>
          <w:rFonts w:ascii="Arial" w:cs="Arial" w:eastAsia="Arial" w:hAnsi="Arial"/>
          <w:sz w:val="18"/>
          <w:szCs w:val="18"/>
          <w:i w:val="1"/>
          <w:iCs w:val="1"/>
          <w:color w:val="auto"/>
        </w:rPr>
        <w:t>Equity Compensation</w:t>
      </w:r>
    </w:p>
    <w:p>
      <w:pPr>
        <w:jc w:val="both"/>
        <w:ind w:left="1020" w:hanging="503"/>
        <w:spacing w:after="0" w:line="276" w:lineRule="auto"/>
        <w:tabs>
          <w:tab w:leader="none" w:pos="10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Existing Director Grant: Each Eligible Director who was serving on the Board as of the closing of the Business Combination received (i) on the closing date of the Business Combination, a stock option award with a value of approximately $320,000 and (ii) upon the effectiveness of the Form S-8 with respect to the Company’s common stock issuable under the 2021 Plan, an RSU award with a value of approximately $80,000, in each case subject to the Eligible Director’s continued service through the applicable grant date (each, an “</w:t>
      </w:r>
      <w:r>
        <w:rPr>
          <w:rFonts w:ascii="Arial" w:cs="Arial" w:eastAsia="Arial" w:hAnsi="Arial"/>
          <w:sz w:val="16"/>
          <w:szCs w:val="16"/>
          <w:u w:val="single" w:color="auto"/>
          <w:color w:val="auto"/>
        </w:rPr>
        <w:t>Existing Director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Grant</w:t>
      </w:r>
      <w:r>
        <w:rPr>
          <w:rFonts w:ascii="Arial" w:cs="Arial" w:eastAsia="Arial" w:hAnsi="Arial"/>
          <w:sz w:val="16"/>
          <w:szCs w:val="16"/>
          <w:color w:val="auto"/>
        </w:rPr>
        <w:t>”). Each Existing Director Grant vests as to 25% of the shares subject to the applicable award on each of the first four anniversaries of the grant date of the applicable award, subject to the Eligible Director’s continued service through the applicable vesting date.</w:t>
      </w:r>
    </w:p>
    <w:p>
      <w:pPr>
        <w:spacing w:after="0" w:line="53" w:lineRule="exact"/>
        <w:rPr>
          <w:rFonts w:ascii="Arial" w:cs="Arial" w:eastAsia="Arial" w:hAnsi="Arial"/>
          <w:sz w:val="16"/>
          <w:szCs w:val="16"/>
          <w:color w:val="auto"/>
        </w:rPr>
      </w:pPr>
    </w:p>
    <w:p>
      <w:pPr>
        <w:jc w:val="both"/>
        <w:ind w:left="1020" w:hanging="503"/>
        <w:spacing w:after="0" w:line="238"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Annual Grant: An Eligible Director who is serving on the Board as of the date of the annual meeting of the Company’s stockholders each calendar year beginning with calendar year 2022 will be granted, on such annual meeting date, a RSU award with a value of approximately $160,000 (each, an “</w:t>
      </w:r>
      <w:r>
        <w:rPr>
          <w:rFonts w:ascii="Arial" w:cs="Arial" w:eastAsia="Arial" w:hAnsi="Arial"/>
          <w:sz w:val="18"/>
          <w:szCs w:val="18"/>
          <w:u w:val="single" w:color="auto"/>
          <w:color w:val="auto"/>
        </w:rPr>
        <w:t>Annual Grant</w:t>
      </w:r>
      <w:r>
        <w:rPr>
          <w:rFonts w:ascii="Arial" w:cs="Arial" w:eastAsia="Arial" w:hAnsi="Arial"/>
          <w:sz w:val="18"/>
          <w:szCs w:val="18"/>
          <w:color w:val="auto"/>
        </w:rPr>
        <w:t>”). Each Annual Grant will vest in full on the earlier to occur of (A) the first anniversary of the applicable grant date and (B) the date of the next annual meeting following the grant date, subject to such Eligible Director’s continued service through the applicable vesting date.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left="1020" w:hanging="503"/>
        <w:spacing w:after="0" w:line="241"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Initial Grant: Each Eligible Director who is initially elected or appointed to serve on our Board at any time after the closing of the Business Combination will automatically be granted on such election or appointment date (i) a stock option award with a value of approximately $320,000 and (ii) a RSU award with a value of approximately $80,000 (each, an “</w:t>
      </w:r>
      <w:r>
        <w:rPr>
          <w:rFonts w:ascii="Arial" w:cs="Arial" w:eastAsia="Arial" w:hAnsi="Arial"/>
          <w:sz w:val="18"/>
          <w:szCs w:val="18"/>
          <w:u w:val="single" w:color="auto"/>
          <w:color w:val="auto"/>
        </w:rPr>
        <w:t>Initial Grant</w:t>
      </w:r>
      <w:r>
        <w:rPr>
          <w:rFonts w:ascii="Arial" w:cs="Arial" w:eastAsia="Arial" w:hAnsi="Arial"/>
          <w:sz w:val="18"/>
          <w:szCs w:val="18"/>
          <w:color w:val="auto"/>
        </w:rPr>
        <w:t>”). Each Initial Grant will vest as to 25% of the shares subject to the applicable award on each of the first four anniversaries of the grant date of the applicable award, subject to the Eligible Director’s continued service through the applicable vesting date.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each Existing Director Grant, Annual Grant and Initial Grant will vest in full upon a change in control of our company (as defined in the 2021 Plan) if the Eligible Director will not become, as of immediately following the change in control, a member of the Board of the surviving entity or the ultimate parent of the surviving entity.</w:t>
      </w:r>
    </w:p>
    <w:p>
      <w:pPr>
        <w:spacing w:after="0" w:line="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Compensation under our Director Compensation Program will be subject to the annual limits on non-employee director compensation set forth in the 2021 Plan.</w:t>
      </w:r>
    </w:p>
    <w:p>
      <w:pPr>
        <w:spacing w:after="0" w:line="275"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holdings of our common stock by:</w:t>
      </w:r>
    </w:p>
    <w:p>
      <w:pPr>
        <w:spacing w:after="0" w:line="104" w:lineRule="exact"/>
        <w:rPr>
          <w:sz w:val="20"/>
          <w:szCs w:val="20"/>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stockholders who beneficially owned more than 5% of the outstanding shares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number of shares beneficially owned by each stockholder is determined under rules issued by the SEC and includes voting or investment power with respect to securities. These rules generally provide that a person is the beneficial owner of securities if such person has or shares the power to vote or direct the voting thereof, or to dispose or direct the disposition thereof or has the right to acquire such powers within 60 days.</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Unless otherwise noted, the business address of each of those listed in the table below is 2578 Broadway #607, New York, NY 10025. We have based our calculation of the percentage of beneficial ownership on 153,916,476 shares of our common stock outstanding as of February 15, 2022.</w:t>
      </w:r>
    </w:p>
    <w:p>
      <w:pPr>
        <w:spacing w:after="0" w:line="133"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Unless otherwise indicated,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Name and Address of Beneficial Owner</w:t>
            </w:r>
          </w:p>
        </w:tc>
        <w:tc>
          <w:tcPr>
            <w:tcW w:w="140" w:type="dxa"/>
            <w:vAlign w:val="bottom"/>
          </w:tcPr>
          <w:p>
            <w:pPr>
              <w:spacing w:after="0"/>
              <w:rPr>
                <w:sz w:val="14"/>
                <w:szCs w:val="14"/>
                <w:color w:val="auto"/>
              </w:rPr>
            </w:pPr>
          </w:p>
        </w:tc>
        <w:tc>
          <w:tcPr>
            <w:tcW w:w="2500" w:type="dxa"/>
            <w:vAlign w:val="bottom"/>
          </w:tcPr>
          <w:p>
            <w:pPr>
              <w:jc w:val="right"/>
              <w:ind w:right="697"/>
              <w:spacing w:after="0"/>
              <w:rPr>
                <w:sz w:val="20"/>
                <w:szCs w:val="20"/>
                <w:color w:val="auto"/>
              </w:rPr>
            </w:pPr>
            <w:r>
              <w:rPr>
                <w:rFonts w:ascii="Arial" w:cs="Arial" w:eastAsia="Arial" w:hAnsi="Arial"/>
                <w:sz w:val="13"/>
                <w:szCs w:val="13"/>
                <w:b w:val="1"/>
                <w:bCs w:val="1"/>
                <w:color w:val="auto"/>
              </w:rPr>
              <w:t>Number of Shares</w:t>
            </w:r>
          </w:p>
        </w:tc>
        <w:tc>
          <w:tcPr>
            <w:tcW w:w="18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 of Ownership</w:t>
            </w:r>
          </w:p>
        </w:tc>
      </w:tr>
      <w:tr>
        <w:trPr>
          <w:trHeight w:val="143"/>
        </w:trPr>
        <w:tc>
          <w:tcPr>
            <w:tcW w:w="662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3"/>
                <w:szCs w:val="13"/>
                <w:i w:val="1"/>
                <w:iCs w:val="1"/>
                <w:color w:val="auto"/>
              </w:rPr>
              <w:t>5% Holders</w:t>
            </w:r>
          </w:p>
        </w:tc>
        <w:tc>
          <w:tcPr>
            <w:tcW w:w="140" w:type="dxa"/>
            <w:vAlign w:val="bottom"/>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6620" w:type="dxa"/>
            <w:vAlign w:val="bottom"/>
            <w:shd w:val="clear" w:color="auto" w:fill="CFF0FC"/>
          </w:tcPr>
          <w:p>
            <w:pPr>
              <w:ind w:left="300"/>
              <w:spacing w:after="0" w:line="148" w:lineRule="exact"/>
              <w:rPr>
                <w:sz w:val="20"/>
                <w:szCs w:val="20"/>
                <w:color w:val="auto"/>
              </w:rPr>
            </w:pPr>
            <w:r>
              <w:rPr>
                <w:rFonts w:ascii="Arial" w:cs="Arial" w:eastAsia="Arial" w:hAnsi="Arial"/>
                <w:sz w:val="13"/>
                <w:szCs w:val="13"/>
                <w:color w:val="auto"/>
              </w:rPr>
              <w:t>HEC Master Fund LP</w:t>
            </w:r>
            <w:r>
              <w:rPr>
                <w:rFonts w:ascii="Arial" w:cs="Arial" w:eastAsia="Arial" w:hAnsi="Arial"/>
                <w:sz w:val="16"/>
                <w:szCs w:val="16"/>
                <w:color w:val="auto"/>
                <w:vertAlign w:val="superscript"/>
              </w:rPr>
              <w:t>(1)</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23,525,046</w:t>
            </w:r>
          </w:p>
        </w:tc>
        <w:tc>
          <w:tcPr>
            <w:tcW w:w="19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11.7 %</w:t>
            </w:r>
          </w:p>
        </w:tc>
      </w:tr>
      <w:tr>
        <w:trPr>
          <w:trHeight w:val="148"/>
        </w:trPr>
        <w:tc>
          <w:tcPr>
            <w:tcW w:w="6620" w:type="dxa"/>
            <w:vAlign w:val="bottom"/>
          </w:tcPr>
          <w:p>
            <w:pPr>
              <w:ind w:left="300"/>
              <w:spacing w:after="0" w:line="148" w:lineRule="exact"/>
              <w:rPr>
                <w:sz w:val="20"/>
                <w:szCs w:val="20"/>
                <w:color w:val="auto"/>
              </w:rPr>
            </w:pPr>
            <w:r>
              <w:rPr>
                <w:rFonts w:ascii="Arial" w:cs="Arial" w:eastAsia="Arial" w:hAnsi="Arial"/>
                <w:sz w:val="13"/>
                <w:szCs w:val="13"/>
                <w:color w:val="auto"/>
              </w:rPr>
              <w:t>Norwest Venture Partners XIII, LP</w:t>
            </w:r>
            <w:r>
              <w:rPr>
                <w:rFonts w:ascii="Arial" w:cs="Arial" w:eastAsia="Arial" w:hAnsi="Arial"/>
                <w:sz w:val="16"/>
                <w:szCs w:val="16"/>
                <w:color w:val="auto"/>
                <w:vertAlign w:val="superscript"/>
              </w:rPr>
              <w:t>(2)</w:t>
            </w:r>
          </w:p>
        </w:tc>
        <w:tc>
          <w:tcPr>
            <w:tcW w:w="2640" w:type="dxa"/>
            <w:vAlign w:val="bottom"/>
            <w:gridSpan w:val="2"/>
          </w:tcPr>
          <w:p>
            <w:pPr>
              <w:jc w:val="right"/>
              <w:spacing w:after="0"/>
              <w:rPr>
                <w:sz w:val="20"/>
                <w:szCs w:val="20"/>
                <w:color w:val="auto"/>
              </w:rPr>
            </w:pPr>
            <w:r>
              <w:rPr>
                <w:rFonts w:ascii="Arial" w:cs="Arial" w:eastAsia="Arial" w:hAnsi="Arial"/>
                <w:sz w:val="13"/>
                <w:szCs w:val="13"/>
                <w:color w:val="auto"/>
              </w:rPr>
              <w:t>14,702,972</w:t>
            </w:r>
          </w:p>
        </w:tc>
        <w:tc>
          <w:tcPr>
            <w:tcW w:w="1980" w:type="dxa"/>
            <w:vAlign w:val="bottom"/>
            <w:gridSpan w:val="3"/>
          </w:tcPr>
          <w:p>
            <w:pPr>
              <w:jc w:val="right"/>
              <w:ind w:right="40"/>
              <w:spacing w:after="0"/>
              <w:rPr>
                <w:sz w:val="20"/>
                <w:szCs w:val="20"/>
                <w:color w:val="auto"/>
              </w:rPr>
            </w:pPr>
            <w:r>
              <w:rPr>
                <w:rFonts w:ascii="Arial" w:cs="Arial" w:eastAsia="Arial" w:hAnsi="Arial"/>
                <w:sz w:val="13"/>
                <w:szCs w:val="13"/>
                <w:color w:val="auto"/>
              </w:rPr>
              <w:t>9.6 %</w:t>
            </w:r>
          </w:p>
        </w:tc>
      </w:tr>
      <w:tr>
        <w:trPr>
          <w:trHeight w:val="148"/>
        </w:trPr>
        <w:tc>
          <w:tcPr>
            <w:tcW w:w="6620" w:type="dxa"/>
            <w:vAlign w:val="bottom"/>
            <w:shd w:val="clear" w:color="auto" w:fill="CFF0FC"/>
          </w:tcPr>
          <w:p>
            <w:pPr>
              <w:ind w:left="300"/>
              <w:spacing w:after="0" w:line="148" w:lineRule="exact"/>
              <w:rPr>
                <w:sz w:val="20"/>
                <w:szCs w:val="20"/>
                <w:color w:val="auto"/>
              </w:rPr>
            </w:pPr>
            <w:r>
              <w:rPr>
                <w:rFonts w:ascii="Arial" w:cs="Arial" w:eastAsia="Arial" w:hAnsi="Arial"/>
                <w:sz w:val="13"/>
                <w:szCs w:val="13"/>
                <w:color w:val="auto"/>
              </w:rPr>
              <w:t>Entities affiliated with Spark Capital</w:t>
            </w:r>
            <w:r>
              <w:rPr>
                <w:rFonts w:ascii="Arial" w:cs="Arial" w:eastAsia="Arial" w:hAnsi="Arial"/>
                <w:sz w:val="16"/>
                <w:szCs w:val="16"/>
                <w:color w:val="auto"/>
                <w:vertAlign w:val="superscript"/>
              </w:rPr>
              <w:t>(3)</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12,473,437</w:t>
            </w:r>
          </w:p>
        </w:tc>
        <w:tc>
          <w:tcPr>
            <w:tcW w:w="19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8.1 %</w:t>
            </w:r>
          </w:p>
        </w:tc>
      </w:tr>
      <w:tr>
        <w:trPr>
          <w:trHeight w:val="149"/>
        </w:trPr>
        <w:tc>
          <w:tcPr>
            <w:tcW w:w="6620" w:type="dxa"/>
            <w:vAlign w:val="bottom"/>
          </w:tcPr>
          <w:p>
            <w:pPr>
              <w:ind w:left="300"/>
              <w:spacing w:after="0" w:line="148" w:lineRule="exact"/>
              <w:rPr>
                <w:sz w:val="20"/>
                <w:szCs w:val="20"/>
                <w:color w:val="auto"/>
              </w:rPr>
            </w:pPr>
            <w:r>
              <w:rPr>
                <w:rFonts w:ascii="Arial" w:cs="Arial" w:eastAsia="Arial" w:hAnsi="Arial"/>
                <w:sz w:val="13"/>
                <w:szCs w:val="13"/>
                <w:color w:val="auto"/>
              </w:rPr>
              <w:t>Qumra Capital II, L.P.</w:t>
            </w:r>
            <w:r>
              <w:rPr>
                <w:rFonts w:ascii="Arial" w:cs="Arial" w:eastAsia="Arial" w:hAnsi="Arial"/>
                <w:sz w:val="16"/>
                <w:szCs w:val="16"/>
                <w:color w:val="auto"/>
                <w:vertAlign w:val="superscript"/>
              </w:rPr>
              <w:t>(4)</w:t>
            </w:r>
          </w:p>
        </w:tc>
        <w:tc>
          <w:tcPr>
            <w:tcW w:w="2640" w:type="dxa"/>
            <w:vAlign w:val="bottom"/>
            <w:gridSpan w:val="2"/>
          </w:tcPr>
          <w:p>
            <w:pPr>
              <w:jc w:val="right"/>
              <w:spacing w:after="0"/>
              <w:rPr>
                <w:sz w:val="20"/>
                <w:szCs w:val="20"/>
                <w:color w:val="auto"/>
              </w:rPr>
            </w:pPr>
            <w:r>
              <w:rPr>
                <w:rFonts w:ascii="Arial" w:cs="Arial" w:eastAsia="Arial" w:hAnsi="Arial"/>
                <w:sz w:val="13"/>
                <w:szCs w:val="13"/>
                <w:color w:val="auto"/>
              </w:rPr>
              <w:t>8,573,437</w:t>
            </w:r>
          </w:p>
        </w:tc>
        <w:tc>
          <w:tcPr>
            <w:tcW w:w="1980" w:type="dxa"/>
            <w:vAlign w:val="bottom"/>
            <w:gridSpan w:val="3"/>
          </w:tcPr>
          <w:p>
            <w:pPr>
              <w:jc w:val="right"/>
              <w:ind w:right="40"/>
              <w:spacing w:after="0"/>
              <w:rPr>
                <w:sz w:val="20"/>
                <w:szCs w:val="20"/>
                <w:color w:val="auto"/>
              </w:rPr>
            </w:pPr>
            <w:r>
              <w:rPr>
                <w:rFonts w:ascii="Arial" w:cs="Arial" w:eastAsia="Arial" w:hAnsi="Arial"/>
                <w:sz w:val="13"/>
                <w:szCs w:val="13"/>
                <w:color w:val="auto"/>
              </w:rPr>
              <w:t>5.6 %</w:t>
            </w:r>
          </w:p>
        </w:tc>
      </w:tr>
      <w:tr>
        <w:trPr>
          <w:trHeight w:val="148"/>
        </w:trPr>
        <w:tc>
          <w:tcPr>
            <w:tcW w:w="6620" w:type="dxa"/>
            <w:vAlign w:val="bottom"/>
            <w:shd w:val="clear" w:color="auto" w:fill="CFF0FC"/>
          </w:tcPr>
          <w:p>
            <w:pPr>
              <w:ind w:left="300"/>
              <w:spacing w:after="0" w:line="148" w:lineRule="exact"/>
              <w:rPr>
                <w:sz w:val="20"/>
                <w:szCs w:val="20"/>
                <w:color w:val="auto"/>
              </w:rPr>
            </w:pPr>
            <w:r>
              <w:rPr>
                <w:rFonts w:ascii="Arial" w:cs="Arial" w:eastAsia="Arial" w:hAnsi="Arial"/>
                <w:sz w:val="13"/>
                <w:szCs w:val="13"/>
                <w:color w:val="auto"/>
              </w:rPr>
              <w:t>Revolution Growth III, LP</w:t>
            </w:r>
            <w:r>
              <w:rPr>
                <w:rFonts w:ascii="Arial" w:cs="Arial" w:eastAsia="Arial" w:hAnsi="Arial"/>
                <w:sz w:val="16"/>
                <w:szCs w:val="16"/>
                <w:color w:val="auto"/>
                <w:vertAlign w:val="superscript"/>
              </w:rPr>
              <w:t>(5)</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8,691,082</w:t>
            </w:r>
          </w:p>
        </w:tc>
        <w:tc>
          <w:tcPr>
            <w:tcW w:w="19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5.6 %</w:t>
            </w:r>
          </w:p>
        </w:tc>
      </w:tr>
      <w:tr>
        <w:trPr>
          <w:trHeight w:val="148"/>
        </w:trPr>
        <w:tc>
          <w:tcPr>
            <w:tcW w:w="6620" w:type="dxa"/>
            <w:vAlign w:val="bottom"/>
          </w:tcPr>
          <w:p>
            <w:pPr>
              <w:ind w:left="300"/>
              <w:spacing w:after="0" w:line="148" w:lineRule="exact"/>
              <w:rPr>
                <w:sz w:val="20"/>
                <w:szCs w:val="20"/>
                <w:color w:val="auto"/>
              </w:rPr>
            </w:pPr>
            <w:r>
              <w:rPr>
                <w:rFonts w:ascii="Arial" w:cs="Arial" w:eastAsia="Arial" w:hAnsi="Arial"/>
                <w:sz w:val="13"/>
                <w:szCs w:val="13"/>
                <w:color w:val="auto"/>
              </w:rPr>
              <w:t>Firstime Ventures G.P. Ltd.</w:t>
            </w:r>
            <w:r>
              <w:rPr>
                <w:rFonts w:ascii="Arial" w:cs="Arial" w:eastAsia="Arial" w:hAnsi="Arial"/>
                <w:sz w:val="16"/>
                <w:szCs w:val="16"/>
                <w:color w:val="auto"/>
                <w:vertAlign w:val="superscript"/>
              </w:rPr>
              <w:t>(6)</w:t>
            </w:r>
          </w:p>
        </w:tc>
        <w:tc>
          <w:tcPr>
            <w:tcW w:w="2640" w:type="dxa"/>
            <w:vAlign w:val="bottom"/>
            <w:gridSpan w:val="2"/>
          </w:tcPr>
          <w:p>
            <w:pPr>
              <w:jc w:val="right"/>
              <w:spacing w:after="0"/>
              <w:rPr>
                <w:sz w:val="20"/>
                <w:szCs w:val="20"/>
                <w:color w:val="auto"/>
              </w:rPr>
            </w:pPr>
            <w:r>
              <w:rPr>
                <w:rFonts w:ascii="Arial" w:cs="Arial" w:eastAsia="Arial" w:hAnsi="Arial"/>
                <w:sz w:val="13"/>
                <w:szCs w:val="13"/>
                <w:color w:val="auto"/>
              </w:rPr>
              <w:t>7,745,708</w:t>
            </w:r>
          </w:p>
        </w:tc>
        <w:tc>
          <w:tcPr>
            <w:tcW w:w="1980" w:type="dxa"/>
            <w:vAlign w:val="bottom"/>
            <w:gridSpan w:val="3"/>
          </w:tcPr>
          <w:p>
            <w:pPr>
              <w:jc w:val="right"/>
              <w:ind w:right="40"/>
              <w:spacing w:after="0"/>
              <w:rPr>
                <w:sz w:val="20"/>
                <w:szCs w:val="20"/>
                <w:color w:val="auto"/>
              </w:rPr>
            </w:pPr>
            <w:r>
              <w:rPr>
                <w:rFonts w:ascii="Arial" w:cs="Arial" w:eastAsia="Arial" w:hAnsi="Arial"/>
                <w:sz w:val="13"/>
                <w:szCs w:val="13"/>
                <w:color w:val="auto"/>
              </w:rPr>
              <w:t>5.0 %</w:t>
            </w:r>
          </w:p>
        </w:tc>
      </w:tr>
      <w:tr>
        <w:trPr>
          <w:trHeight w:val="149"/>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i w:val="1"/>
                <w:iCs w:val="1"/>
                <w:color w:val="auto"/>
              </w:rPr>
              <w:t>Directors and Named Executive Officers</w:t>
            </w:r>
          </w:p>
        </w:tc>
        <w:tc>
          <w:tcPr>
            <w:tcW w:w="1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8"/>
        </w:trPr>
        <w:tc>
          <w:tcPr>
            <w:tcW w:w="6620" w:type="dxa"/>
            <w:vAlign w:val="bottom"/>
          </w:tcPr>
          <w:p>
            <w:pPr>
              <w:ind w:left="280"/>
              <w:spacing w:after="0" w:line="148" w:lineRule="exact"/>
              <w:rPr>
                <w:sz w:val="20"/>
                <w:szCs w:val="20"/>
                <w:color w:val="auto"/>
              </w:rPr>
            </w:pPr>
            <w:r>
              <w:rPr>
                <w:rFonts w:ascii="Arial" w:cs="Arial" w:eastAsia="Arial" w:hAnsi="Arial"/>
                <w:sz w:val="13"/>
                <w:szCs w:val="13"/>
                <w:color w:val="auto"/>
              </w:rPr>
              <w:t>Oren Frank</w:t>
            </w:r>
            <w:r>
              <w:rPr>
                <w:rFonts w:ascii="Arial" w:cs="Arial" w:eastAsia="Arial" w:hAnsi="Arial"/>
                <w:sz w:val="16"/>
                <w:szCs w:val="16"/>
                <w:color w:val="auto"/>
                <w:vertAlign w:val="superscript"/>
              </w:rPr>
              <w:t>(7)</w:t>
            </w:r>
          </w:p>
        </w:tc>
        <w:tc>
          <w:tcPr>
            <w:tcW w:w="2640" w:type="dxa"/>
            <w:vAlign w:val="bottom"/>
            <w:gridSpan w:val="2"/>
          </w:tcPr>
          <w:p>
            <w:pPr>
              <w:jc w:val="right"/>
              <w:spacing w:after="0"/>
              <w:rPr>
                <w:sz w:val="20"/>
                <w:szCs w:val="20"/>
                <w:color w:val="auto"/>
              </w:rPr>
            </w:pPr>
            <w:r>
              <w:rPr>
                <w:rFonts w:ascii="Arial" w:cs="Arial" w:eastAsia="Arial" w:hAnsi="Arial"/>
                <w:sz w:val="13"/>
                <w:szCs w:val="13"/>
                <w:color w:val="auto"/>
              </w:rPr>
              <w:t>5,482,532</w:t>
            </w:r>
          </w:p>
        </w:tc>
        <w:tc>
          <w:tcPr>
            <w:tcW w:w="1980" w:type="dxa"/>
            <w:vAlign w:val="bottom"/>
            <w:gridSpan w:val="3"/>
          </w:tcPr>
          <w:p>
            <w:pPr>
              <w:jc w:val="right"/>
              <w:ind w:right="40"/>
              <w:spacing w:after="0"/>
              <w:rPr>
                <w:sz w:val="20"/>
                <w:szCs w:val="20"/>
                <w:color w:val="auto"/>
              </w:rPr>
            </w:pPr>
            <w:r>
              <w:rPr>
                <w:rFonts w:ascii="Arial" w:cs="Arial" w:eastAsia="Arial" w:hAnsi="Arial"/>
                <w:sz w:val="13"/>
                <w:szCs w:val="13"/>
                <w:color w:val="auto"/>
              </w:rPr>
              <w:t>3.5 %</w:t>
            </w:r>
          </w:p>
        </w:tc>
      </w:tr>
      <w:tr>
        <w:trPr>
          <w:trHeight w:val="148"/>
        </w:trPr>
        <w:tc>
          <w:tcPr>
            <w:tcW w:w="66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Jennifer Fulk</w:t>
            </w:r>
          </w:p>
        </w:tc>
        <w:tc>
          <w:tcPr>
            <w:tcW w:w="1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9"/>
        </w:trPr>
        <w:tc>
          <w:tcPr>
            <w:tcW w:w="6620" w:type="dxa"/>
            <w:vAlign w:val="bottom"/>
          </w:tcPr>
          <w:p>
            <w:pPr>
              <w:ind w:left="280"/>
              <w:spacing w:after="0" w:line="148" w:lineRule="exact"/>
              <w:rPr>
                <w:sz w:val="20"/>
                <w:szCs w:val="20"/>
                <w:color w:val="auto"/>
              </w:rPr>
            </w:pPr>
            <w:r>
              <w:rPr>
                <w:rFonts w:ascii="Arial" w:cs="Arial" w:eastAsia="Arial" w:hAnsi="Arial"/>
                <w:sz w:val="13"/>
                <w:szCs w:val="13"/>
                <w:color w:val="auto"/>
              </w:rPr>
              <w:t>Mark Hirschhorn</w:t>
            </w:r>
            <w:r>
              <w:rPr>
                <w:rFonts w:ascii="Arial" w:cs="Arial" w:eastAsia="Arial" w:hAnsi="Arial"/>
                <w:sz w:val="16"/>
                <w:szCs w:val="16"/>
                <w:color w:val="auto"/>
                <w:vertAlign w:val="superscript"/>
              </w:rPr>
              <w:t>(8)</w:t>
            </w:r>
          </w:p>
        </w:tc>
        <w:tc>
          <w:tcPr>
            <w:tcW w:w="2640" w:type="dxa"/>
            <w:vAlign w:val="bottom"/>
            <w:gridSpan w:val="2"/>
          </w:tcPr>
          <w:p>
            <w:pPr>
              <w:jc w:val="right"/>
              <w:spacing w:after="0"/>
              <w:rPr>
                <w:sz w:val="20"/>
                <w:szCs w:val="20"/>
                <w:color w:val="auto"/>
              </w:rPr>
            </w:pPr>
            <w:r>
              <w:rPr>
                <w:rFonts w:ascii="Arial" w:cs="Arial" w:eastAsia="Arial" w:hAnsi="Arial"/>
                <w:sz w:val="13"/>
                <w:szCs w:val="13"/>
                <w:color w:val="auto"/>
              </w:rPr>
              <w:t>1,840,579</w:t>
            </w:r>
          </w:p>
        </w:tc>
        <w:tc>
          <w:tcPr>
            <w:tcW w:w="1980" w:type="dxa"/>
            <w:vAlign w:val="bottom"/>
            <w:gridSpan w:val="3"/>
          </w:tcPr>
          <w:p>
            <w:pPr>
              <w:jc w:val="right"/>
              <w:ind w:right="40"/>
              <w:spacing w:after="0"/>
              <w:rPr>
                <w:sz w:val="20"/>
                <w:szCs w:val="20"/>
                <w:color w:val="auto"/>
              </w:rPr>
            </w:pPr>
            <w:r>
              <w:rPr>
                <w:rFonts w:ascii="Arial" w:cs="Arial" w:eastAsia="Arial" w:hAnsi="Arial"/>
                <w:sz w:val="13"/>
                <w:szCs w:val="13"/>
                <w:color w:val="auto"/>
              </w:rPr>
              <w:t>1.2 %</w:t>
            </w:r>
          </w:p>
        </w:tc>
      </w:tr>
      <w:tr>
        <w:trPr>
          <w:trHeight w:val="148"/>
        </w:trPr>
        <w:tc>
          <w:tcPr>
            <w:tcW w:w="6620" w:type="dxa"/>
            <w:vAlign w:val="bottom"/>
            <w:shd w:val="clear" w:color="auto" w:fill="CFF0FC"/>
          </w:tcPr>
          <w:p>
            <w:pPr>
              <w:ind w:left="280"/>
              <w:spacing w:after="0" w:line="148" w:lineRule="exact"/>
              <w:rPr>
                <w:sz w:val="20"/>
                <w:szCs w:val="20"/>
                <w:color w:val="auto"/>
              </w:rPr>
            </w:pPr>
            <w:r>
              <w:rPr>
                <w:rFonts w:ascii="Arial" w:cs="Arial" w:eastAsia="Arial" w:hAnsi="Arial"/>
                <w:sz w:val="13"/>
                <w:szCs w:val="13"/>
                <w:color w:val="auto"/>
              </w:rPr>
              <w:t>Roni Frank</w:t>
            </w:r>
            <w:r>
              <w:rPr>
                <w:rFonts w:ascii="Arial" w:cs="Arial" w:eastAsia="Arial" w:hAnsi="Arial"/>
                <w:sz w:val="16"/>
                <w:szCs w:val="16"/>
                <w:color w:val="auto"/>
                <w:vertAlign w:val="superscript"/>
              </w:rPr>
              <w:t>(9)</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5,211,832</w:t>
            </w:r>
          </w:p>
        </w:tc>
        <w:tc>
          <w:tcPr>
            <w:tcW w:w="19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3.3 %</w:t>
            </w:r>
          </w:p>
        </w:tc>
      </w:tr>
      <w:tr>
        <w:trPr>
          <w:trHeight w:val="149"/>
        </w:trPr>
        <w:tc>
          <w:tcPr>
            <w:tcW w:w="6620" w:type="dxa"/>
            <w:vAlign w:val="bottom"/>
          </w:tcPr>
          <w:p>
            <w:pPr>
              <w:ind w:left="280"/>
              <w:spacing w:after="0" w:line="148" w:lineRule="exact"/>
              <w:rPr>
                <w:sz w:val="20"/>
                <w:szCs w:val="20"/>
                <w:color w:val="auto"/>
              </w:rPr>
            </w:pPr>
            <w:r>
              <w:rPr>
                <w:rFonts w:ascii="Arial" w:cs="Arial" w:eastAsia="Arial" w:hAnsi="Arial"/>
                <w:sz w:val="13"/>
                <w:szCs w:val="13"/>
                <w:color w:val="auto"/>
              </w:rPr>
              <w:t>Samara H. Braunstein</w:t>
            </w:r>
            <w:r>
              <w:rPr>
                <w:rFonts w:ascii="Arial" w:cs="Arial" w:eastAsia="Arial" w:hAnsi="Arial"/>
                <w:sz w:val="16"/>
                <w:szCs w:val="16"/>
                <w:color w:val="auto"/>
                <w:vertAlign w:val="superscript"/>
              </w:rPr>
              <w:t>(10)</w:t>
            </w:r>
          </w:p>
        </w:tc>
        <w:tc>
          <w:tcPr>
            <w:tcW w:w="2640" w:type="dxa"/>
            <w:vAlign w:val="bottom"/>
            <w:gridSpan w:val="2"/>
          </w:tcPr>
          <w:p>
            <w:pPr>
              <w:jc w:val="right"/>
              <w:spacing w:after="0"/>
              <w:rPr>
                <w:sz w:val="20"/>
                <w:szCs w:val="20"/>
                <w:color w:val="auto"/>
              </w:rPr>
            </w:pPr>
            <w:r>
              <w:rPr>
                <w:rFonts w:ascii="Arial" w:cs="Arial" w:eastAsia="Arial" w:hAnsi="Arial"/>
                <w:sz w:val="13"/>
                <w:szCs w:val="13"/>
                <w:color w:val="auto"/>
              </w:rPr>
              <w:t>4,825,627</w:t>
            </w:r>
          </w:p>
        </w:tc>
        <w:tc>
          <w:tcPr>
            <w:tcW w:w="1980" w:type="dxa"/>
            <w:vAlign w:val="bottom"/>
            <w:gridSpan w:val="3"/>
          </w:tcPr>
          <w:p>
            <w:pPr>
              <w:jc w:val="right"/>
              <w:ind w:right="40"/>
              <w:spacing w:after="0"/>
              <w:rPr>
                <w:sz w:val="20"/>
                <w:szCs w:val="20"/>
                <w:color w:val="auto"/>
              </w:rPr>
            </w:pPr>
            <w:r>
              <w:rPr>
                <w:rFonts w:ascii="Arial" w:cs="Arial" w:eastAsia="Arial" w:hAnsi="Arial"/>
                <w:sz w:val="13"/>
                <w:szCs w:val="13"/>
                <w:color w:val="auto"/>
              </w:rPr>
              <w:t>3.1 %</w:t>
            </w:r>
          </w:p>
        </w:tc>
      </w:tr>
      <w:tr>
        <w:trPr>
          <w:trHeight w:val="148"/>
        </w:trPr>
        <w:tc>
          <w:tcPr>
            <w:tcW w:w="6620" w:type="dxa"/>
            <w:vAlign w:val="bottom"/>
            <w:shd w:val="clear" w:color="auto" w:fill="CFF0FC"/>
          </w:tcPr>
          <w:p>
            <w:pPr>
              <w:ind w:left="280"/>
              <w:spacing w:after="0" w:line="148" w:lineRule="exact"/>
              <w:rPr>
                <w:sz w:val="20"/>
                <w:szCs w:val="20"/>
                <w:color w:val="auto"/>
              </w:rPr>
            </w:pPr>
            <w:r>
              <w:rPr>
                <w:rFonts w:ascii="Arial" w:cs="Arial" w:eastAsia="Arial" w:hAnsi="Arial"/>
                <w:sz w:val="13"/>
                <w:szCs w:val="13"/>
                <w:color w:val="auto"/>
              </w:rPr>
              <w:t>Gil Margolin</w:t>
            </w:r>
            <w:r>
              <w:rPr>
                <w:rFonts w:ascii="Arial" w:cs="Arial" w:eastAsia="Arial" w:hAnsi="Arial"/>
                <w:sz w:val="16"/>
                <w:szCs w:val="16"/>
                <w:color w:val="auto"/>
                <w:vertAlign w:val="superscript"/>
              </w:rPr>
              <w:t>(11)</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2,771,670</w:t>
            </w:r>
          </w:p>
        </w:tc>
        <w:tc>
          <w:tcPr>
            <w:tcW w:w="19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1.8 %</w:t>
            </w:r>
          </w:p>
        </w:tc>
      </w:tr>
      <w:tr>
        <w:trPr>
          <w:trHeight w:val="148"/>
        </w:trPr>
        <w:tc>
          <w:tcPr>
            <w:tcW w:w="6620" w:type="dxa"/>
            <w:vAlign w:val="bottom"/>
          </w:tcPr>
          <w:p>
            <w:pPr>
              <w:ind w:left="280"/>
              <w:spacing w:after="0" w:line="148" w:lineRule="exact"/>
              <w:rPr>
                <w:sz w:val="20"/>
                <w:szCs w:val="20"/>
                <w:color w:val="auto"/>
              </w:rPr>
            </w:pPr>
            <w:r>
              <w:rPr>
                <w:rFonts w:ascii="Arial" w:cs="Arial" w:eastAsia="Arial" w:hAnsi="Arial"/>
                <w:sz w:val="13"/>
                <w:szCs w:val="13"/>
                <w:color w:val="auto"/>
              </w:rPr>
              <w:t>John C. Reilly</w:t>
            </w:r>
            <w:r>
              <w:rPr>
                <w:rFonts w:ascii="Arial" w:cs="Arial" w:eastAsia="Arial" w:hAnsi="Arial"/>
                <w:sz w:val="16"/>
                <w:szCs w:val="16"/>
                <w:color w:val="auto"/>
                <w:vertAlign w:val="superscript"/>
              </w:rPr>
              <w:t>(12)</w:t>
            </w:r>
          </w:p>
        </w:tc>
        <w:tc>
          <w:tcPr>
            <w:tcW w:w="2640" w:type="dxa"/>
            <w:vAlign w:val="bottom"/>
            <w:gridSpan w:val="2"/>
          </w:tcPr>
          <w:p>
            <w:pPr>
              <w:jc w:val="right"/>
              <w:spacing w:after="0"/>
              <w:rPr>
                <w:sz w:val="20"/>
                <w:szCs w:val="20"/>
                <w:color w:val="auto"/>
              </w:rPr>
            </w:pPr>
            <w:r>
              <w:rPr>
                <w:rFonts w:ascii="Arial" w:cs="Arial" w:eastAsia="Arial" w:hAnsi="Arial"/>
                <w:sz w:val="13"/>
                <w:szCs w:val="13"/>
                <w:color w:val="auto"/>
              </w:rPr>
              <w:t>468,827</w:t>
            </w:r>
          </w:p>
        </w:tc>
        <w:tc>
          <w:tcPr>
            <w:tcW w:w="1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r>
      <w:tr>
        <w:trPr>
          <w:trHeight w:val="149"/>
        </w:trPr>
        <w:tc>
          <w:tcPr>
            <w:tcW w:w="6620" w:type="dxa"/>
            <w:vAlign w:val="bottom"/>
            <w:shd w:val="clear" w:color="auto" w:fill="CFF0FC"/>
          </w:tcPr>
          <w:p>
            <w:pPr>
              <w:ind w:left="280"/>
              <w:spacing w:after="0" w:line="148" w:lineRule="exact"/>
              <w:rPr>
                <w:sz w:val="20"/>
                <w:szCs w:val="20"/>
                <w:color w:val="auto"/>
              </w:rPr>
            </w:pPr>
            <w:r>
              <w:rPr>
                <w:rFonts w:ascii="Arial" w:cs="Arial" w:eastAsia="Arial" w:hAnsi="Arial"/>
                <w:sz w:val="13"/>
                <w:szCs w:val="13"/>
                <w:color w:val="auto"/>
              </w:rPr>
              <w:t>Douglas L. Braunstein</w:t>
            </w:r>
            <w:r>
              <w:rPr>
                <w:rFonts w:ascii="Arial" w:cs="Arial" w:eastAsia="Arial" w:hAnsi="Arial"/>
                <w:sz w:val="16"/>
                <w:szCs w:val="16"/>
                <w:color w:val="auto"/>
                <w:vertAlign w:val="superscript"/>
              </w:rPr>
              <w:t>(13)</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23,525,046</w:t>
            </w:r>
          </w:p>
        </w:tc>
        <w:tc>
          <w:tcPr>
            <w:tcW w:w="19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14.4 %</w:t>
            </w:r>
          </w:p>
        </w:tc>
      </w:tr>
      <w:tr>
        <w:trPr>
          <w:trHeight w:val="148"/>
        </w:trPr>
        <w:tc>
          <w:tcPr>
            <w:tcW w:w="6620" w:type="dxa"/>
            <w:vAlign w:val="bottom"/>
          </w:tcPr>
          <w:p>
            <w:pPr>
              <w:ind w:left="280"/>
              <w:spacing w:after="0" w:line="148" w:lineRule="exact"/>
              <w:rPr>
                <w:sz w:val="20"/>
                <w:szCs w:val="20"/>
                <w:color w:val="auto"/>
              </w:rPr>
            </w:pPr>
            <w:r>
              <w:rPr>
                <w:rFonts w:ascii="Arial" w:cs="Arial" w:eastAsia="Arial" w:hAnsi="Arial"/>
                <w:sz w:val="13"/>
                <w:szCs w:val="13"/>
                <w:color w:val="auto"/>
              </w:rPr>
              <w:t>Jeffrey M. Crowe</w:t>
            </w:r>
            <w:r>
              <w:rPr>
                <w:rFonts w:ascii="Arial" w:cs="Arial" w:eastAsia="Arial" w:hAnsi="Arial"/>
                <w:sz w:val="16"/>
                <w:szCs w:val="16"/>
                <w:color w:val="auto"/>
                <w:vertAlign w:val="superscript"/>
              </w:rPr>
              <w:t>(2) (14)</w:t>
            </w:r>
          </w:p>
        </w:tc>
        <w:tc>
          <w:tcPr>
            <w:tcW w:w="2640" w:type="dxa"/>
            <w:vAlign w:val="bottom"/>
            <w:gridSpan w:val="2"/>
          </w:tcPr>
          <w:p>
            <w:pPr>
              <w:jc w:val="right"/>
              <w:spacing w:after="0"/>
              <w:rPr>
                <w:sz w:val="20"/>
                <w:szCs w:val="20"/>
                <w:color w:val="auto"/>
              </w:rPr>
            </w:pPr>
            <w:r>
              <w:rPr>
                <w:rFonts w:ascii="Arial" w:cs="Arial" w:eastAsia="Arial" w:hAnsi="Arial"/>
                <w:sz w:val="13"/>
                <w:szCs w:val="13"/>
                <w:color w:val="auto"/>
              </w:rPr>
              <w:t>14,702,972</w:t>
            </w:r>
          </w:p>
        </w:tc>
        <w:tc>
          <w:tcPr>
            <w:tcW w:w="1980" w:type="dxa"/>
            <w:vAlign w:val="bottom"/>
            <w:gridSpan w:val="3"/>
          </w:tcPr>
          <w:p>
            <w:pPr>
              <w:jc w:val="right"/>
              <w:ind w:right="40"/>
              <w:spacing w:after="0"/>
              <w:rPr>
                <w:sz w:val="20"/>
                <w:szCs w:val="20"/>
                <w:color w:val="auto"/>
              </w:rPr>
            </w:pPr>
            <w:r>
              <w:rPr>
                <w:rFonts w:ascii="Arial" w:cs="Arial" w:eastAsia="Arial" w:hAnsi="Arial"/>
                <w:sz w:val="13"/>
                <w:szCs w:val="13"/>
                <w:color w:val="auto"/>
              </w:rPr>
              <w:t>9.6 %</w:t>
            </w:r>
          </w:p>
        </w:tc>
      </w:tr>
      <w:tr>
        <w:trPr>
          <w:trHeight w:val="148"/>
        </w:trPr>
        <w:tc>
          <w:tcPr>
            <w:tcW w:w="6620" w:type="dxa"/>
            <w:vAlign w:val="bottom"/>
            <w:shd w:val="clear" w:color="auto" w:fill="CFF0FC"/>
          </w:tcPr>
          <w:p>
            <w:pPr>
              <w:ind w:left="280"/>
              <w:spacing w:after="0" w:line="148" w:lineRule="exact"/>
              <w:rPr>
                <w:sz w:val="20"/>
                <w:szCs w:val="20"/>
                <w:color w:val="auto"/>
              </w:rPr>
            </w:pPr>
            <w:r>
              <w:rPr>
                <w:rFonts w:ascii="Arial" w:cs="Arial" w:eastAsia="Arial" w:hAnsi="Arial"/>
                <w:sz w:val="13"/>
                <w:szCs w:val="13"/>
                <w:color w:val="auto"/>
              </w:rPr>
              <w:t>Erez Shachar</w:t>
            </w:r>
            <w:r>
              <w:rPr>
                <w:rFonts w:ascii="Arial" w:cs="Arial" w:eastAsia="Arial" w:hAnsi="Arial"/>
                <w:sz w:val="16"/>
                <w:szCs w:val="16"/>
                <w:color w:val="auto"/>
                <w:vertAlign w:val="superscript"/>
              </w:rPr>
              <w:t>(4) (15)</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8,573,437</w:t>
            </w:r>
          </w:p>
        </w:tc>
        <w:tc>
          <w:tcPr>
            <w:tcW w:w="19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5.6 %</w:t>
            </w:r>
          </w:p>
        </w:tc>
      </w:tr>
      <w:tr>
        <w:trPr>
          <w:trHeight w:val="149"/>
        </w:trPr>
        <w:tc>
          <w:tcPr>
            <w:tcW w:w="6620" w:type="dxa"/>
            <w:vAlign w:val="bottom"/>
          </w:tcPr>
          <w:p>
            <w:pPr>
              <w:ind w:left="280"/>
              <w:spacing w:after="0"/>
              <w:rPr>
                <w:sz w:val="20"/>
                <w:szCs w:val="20"/>
                <w:color w:val="auto"/>
              </w:rPr>
            </w:pPr>
            <w:r>
              <w:rPr>
                <w:rFonts w:ascii="Arial" w:cs="Arial" w:eastAsia="Arial" w:hAnsi="Arial"/>
                <w:sz w:val="13"/>
                <w:szCs w:val="13"/>
                <w:color w:val="auto"/>
              </w:rPr>
              <w:t>Curtis Warfield</w:t>
            </w: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6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Jacqueline Yeaney</w:t>
            </w:r>
          </w:p>
        </w:tc>
        <w:tc>
          <w:tcPr>
            <w:tcW w:w="1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9"/>
        </w:trPr>
        <w:tc>
          <w:tcPr>
            <w:tcW w:w="6620" w:type="dxa"/>
            <w:vAlign w:val="bottom"/>
          </w:tcPr>
          <w:p>
            <w:pPr>
              <w:ind w:left="280"/>
              <w:spacing w:after="0"/>
              <w:rPr>
                <w:sz w:val="20"/>
                <w:szCs w:val="20"/>
                <w:color w:val="auto"/>
              </w:rPr>
            </w:pPr>
            <w:r>
              <w:rPr>
                <w:rFonts w:ascii="Arial" w:cs="Arial" w:eastAsia="Arial" w:hAnsi="Arial"/>
                <w:sz w:val="13"/>
                <w:szCs w:val="13"/>
                <w:color w:val="auto"/>
              </w:rPr>
              <w:t>Charles Berg</w:t>
            </w: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6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Madhu Pawar</w:t>
            </w:r>
          </w:p>
        </w:tc>
        <w:tc>
          <w:tcPr>
            <w:tcW w:w="1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3"/>
                <w:szCs w:val="13"/>
                <w:color w:val="auto"/>
              </w:rPr>
              <w:t>All current directors and executive officers as a group (12 individuals)</w:t>
            </w:r>
            <w:r>
              <w:rPr>
                <w:rFonts w:ascii="Arial" w:cs="Arial" w:eastAsia="Arial" w:hAnsi="Arial"/>
                <w:sz w:val="16"/>
                <w:szCs w:val="16"/>
                <w:color w:val="auto"/>
                <w:vertAlign w:val="superscript"/>
              </w:rPr>
              <w:t>(16)</w:t>
            </w:r>
          </w:p>
        </w:tc>
        <w:tc>
          <w:tcPr>
            <w:tcW w:w="2640" w:type="dxa"/>
            <w:vAlign w:val="bottom"/>
            <w:gridSpan w:val="2"/>
          </w:tcPr>
          <w:p>
            <w:pPr>
              <w:jc w:val="right"/>
              <w:spacing w:after="0"/>
              <w:rPr>
                <w:sz w:val="20"/>
                <w:szCs w:val="20"/>
                <w:color w:val="auto"/>
              </w:rPr>
            </w:pPr>
            <w:r>
              <w:rPr>
                <w:rFonts w:ascii="Arial" w:cs="Arial" w:eastAsia="Arial" w:hAnsi="Arial"/>
                <w:sz w:val="13"/>
                <w:szCs w:val="13"/>
                <w:color w:val="auto"/>
              </w:rPr>
              <w:t>50,324,383</w:t>
            </w:r>
          </w:p>
        </w:tc>
        <w:tc>
          <w:tcPr>
            <w:tcW w:w="1980" w:type="dxa"/>
            <w:vAlign w:val="bottom"/>
            <w:gridSpan w:val="3"/>
          </w:tcPr>
          <w:p>
            <w:pPr>
              <w:jc w:val="right"/>
              <w:ind w:right="40"/>
              <w:spacing w:after="0"/>
              <w:rPr>
                <w:sz w:val="20"/>
                <w:szCs w:val="20"/>
                <w:color w:val="auto"/>
              </w:rPr>
            </w:pPr>
            <w:r>
              <w:rPr>
                <w:rFonts w:ascii="Arial" w:cs="Arial" w:eastAsia="Arial" w:hAnsi="Arial"/>
                <w:sz w:val="13"/>
                <w:szCs w:val="13"/>
                <w:color w:val="auto"/>
              </w:rPr>
              <w:t>30.1 %</w:t>
            </w:r>
          </w:p>
        </w:tc>
      </w:tr>
    </w:tbl>
    <w:p>
      <w:pPr>
        <w:spacing w:after="0" w:line="128" w:lineRule="exact"/>
        <w:rPr>
          <w:sz w:val="20"/>
          <w:szCs w:val="20"/>
          <w:color w:val="auto"/>
        </w:rPr>
      </w:pPr>
    </w:p>
    <w:p>
      <w:pPr>
        <w:ind w:left="460" w:hanging="439"/>
        <w:spacing w:after="0"/>
        <w:tabs>
          <w:tab w:leader="none" w:pos="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both"/>
        <w:ind w:firstLine="8"/>
        <w:spacing w:after="0" w:line="243" w:lineRule="auto"/>
        <w:tabs>
          <w:tab w:leader="none" w:pos="288"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information reported on a Schedule 13D/A filed on November 17, 2021, a Form 4 filed on November 24, 2021 and information known to the Company, consists of (i) 11,340,600 shares of common stock and 7,640,000 shares of common stock issuable upon the exercise of warrants held by HEC Master Fund LP, (ii) 2,274,446 shares of common stock owned jointly among Douglas Braunstein and his spouse, including through a trust and (iii) 2,270,000 shares of common stock beneficially owned jointly among Mr. Braunstein and his spouse through the ownership of warrants exercisable within 60 days of the date of February 15, 2022. Douglas Braunstein is the Managing Member of HEC Management GP LLC ("MGT GP"). MGT GP is the Managing Member of HEC Performance GP LLC and the Managing Partner of Hudson Executive Capital LP, which is the Investment Manager of the HEC Master Fund LP. Hudson Executive Capital LP and Mr. Braunstein disclaims beneficial ownership of the securities owned by HEC Master Fund LP except to the extent of his pecuniary interest therein. The address of HEC Master Fund LP is c/o Walkers Corporate Limited, 190 Elgin Avenue George Town, Grand Cayman KY1-9001.</w:t>
      </w:r>
    </w:p>
    <w:p>
      <w:pPr>
        <w:spacing w:after="0" w:line="34" w:lineRule="exact"/>
        <w:rPr>
          <w:rFonts w:ascii="Arial" w:cs="Arial" w:eastAsia="Arial" w:hAnsi="Arial"/>
          <w:sz w:val="14"/>
          <w:szCs w:val="14"/>
          <w:color w:val="auto"/>
        </w:rPr>
      </w:pPr>
    </w:p>
    <w:p>
      <w:pPr>
        <w:jc w:val="both"/>
        <w:ind w:firstLine="8"/>
        <w:spacing w:after="0" w:line="247" w:lineRule="auto"/>
        <w:tabs>
          <w:tab w:leader="none" w:pos="302"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information reported on a Schedule 13G filed on February 14, 2022, consists of shares of common stock held by Norwest Venture Partners XIII, LP (“NVP XIII”). Genesis VC Partners XIII, LLC is the general partner of NVP XIII and may be deemed to have sole voting and dispositive power over the shares held by NVP XIII. NVP Associates, LLC, the managing member of Genesis VC Partners XIII, LLC and each of Promod Haque, Jeffrey Crowe and Jon Kossow, as Co-Chief Executive Officers of NVP Associates, LLC and members of the general partner, may be deemed to share voting and dispositive power over the shares held by NVP XIII. Such persons and entities disclaim beneficial ownership of the shares held by NVP XIII, except to the extent of any proportionate pecuniary interest therein. Mr. Crowe serves as a member of our board of directors. The address for these entities is 525 University Avenue, #800, Palo Alto, CA 94301.</w:t>
      </w:r>
    </w:p>
    <w:p>
      <w:pPr>
        <w:spacing w:after="0" w:line="31" w:lineRule="exact"/>
        <w:rPr>
          <w:rFonts w:ascii="Arial" w:cs="Arial" w:eastAsia="Arial" w:hAnsi="Arial"/>
          <w:sz w:val="14"/>
          <w:szCs w:val="14"/>
          <w:color w:val="auto"/>
        </w:rPr>
      </w:pPr>
    </w:p>
    <w:p>
      <w:pPr>
        <w:jc w:val="both"/>
        <w:ind w:firstLine="8"/>
        <w:spacing w:after="0" w:line="249" w:lineRule="auto"/>
        <w:tabs>
          <w:tab w:leader="none" w:pos="292"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information reported on a Schedule 13D filed on July 2, 2021, consists of shares of common stock held by Spark Capital IV, L.P. ("Spark IV"), Spark Capital Founders’ Fund IV, L.P. ("Spark FF IV" and together with Spark IV, the "Spark Funds"), Spark Management Partners IV, LLC ("Spark IV GP") (collectively, the “Spark Entities”). Spark IV GP is the general partner of each of the Spark Entities and may be deemed to have voting, investment and dispositive power with respect to these securities. Each of Santo Politi, Bijan Sabet, Paul Conway and Alex Finkelstein is a managing member of the general partner of these funds, which makes all voting and investment decisions for these funds through the vote of such managing members. The address of these entities is 200 Clarendon St., Floor 59, Boston, MA 02116.</w:t>
      </w:r>
    </w:p>
    <w:p>
      <w:pPr>
        <w:spacing w:after="0" w:line="28" w:lineRule="exact"/>
        <w:rPr>
          <w:rFonts w:ascii="Arial" w:cs="Arial" w:eastAsia="Arial" w:hAnsi="Arial"/>
          <w:sz w:val="14"/>
          <w:szCs w:val="14"/>
          <w:color w:val="auto"/>
        </w:rPr>
      </w:pPr>
    </w:p>
    <w:p>
      <w:pPr>
        <w:jc w:val="both"/>
        <w:ind w:firstLine="8"/>
        <w:spacing w:after="0" w:line="252" w:lineRule="auto"/>
        <w:tabs>
          <w:tab w:leader="none" w:pos="306"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information reported on a Schedule 13D filed on July 1, 2021, consists of shares of common stock that held by Qumra Capital II, L.P (“Qumra II”). Qumra Capital GP II, L.P. (“Qumra GP II”) is the general partner of Qumra II and Qumra Capital Israel I Ltd. (“Qumra Capital Ltd.”) is the general partner of Qumra GP II. Boaz Dinte and Erez Shachar serve as the managing partners of Qumra Capital Ltd. and share voting and dispositive power with respect to the shares held by Qumra II. Mr. Shachar serves as a member of our board of directors. The address for these entities are c/o Qumra Capital, HaNevi’im St 4, Tel Aviv-Yafo, Israel.</w:t>
      </w:r>
    </w:p>
    <w:p>
      <w:pPr>
        <w:spacing w:after="0" w:line="25" w:lineRule="exact"/>
        <w:rPr>
          <w:rFonts w:ascii="Arial" w:cs="Arial" w:eastAsia="Arial" w:hAnsi="Arial"/>
          <w:sz w:val="14"/>
          <w:szCs w:val="14"/>
          <w:color w:val="auto"/>
        </w:rPr>
      </w:pPr>
    </w:p>
    <w:p>
      <w:pPr>
        <w:jc w:val="both"/>
        <w:ind w:firstLine="8"/>
        <w:spacing w:after="0" w:line="247" w:lineRule="auto"/>
        <w:tabs>
          <w:tab w:leader="none" w:pos="283"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information reported on a Schedule 13G filed on July 2, 2021, consists of shares of common stock held by Revolution Growth III, LP (“Revolution Growth III”). Steven J. Murray is the operating manager of Revolution Growth UGP III, LLC (“Revolution Growth UGP III”), the general partner of Revolution Growth GP III, LP (“Revolution Growth GP III”), which is the general partner of Revolution Growth III. Revolution Growth UGP III, Revolution Growth GP III and Mr. Murray may be deemed to have voting power with respect to the shares held by Revolution Growth III. Revolution Growth UGP III, Revolution Growth GP III, Revolution Growth III, and Mr. Murray, Theodore J. Leonsis and Stephen M. Case, as members of Revolution Growth UGP III’s investment committee, may be deemed to share dispositive power over such shares. The address of these entities is 1717 Rhode Island Avenue, NW, 10th Floor, Washington, D.C. 20036.</w:t>
      </w:r>
    </w:p>
    <w:p>
      <w:pPr>
        <w:spacing w:after="0" w:line="31" w:lineRule="exact"/>
        <w:rPr>
          <w:rFonts w:ascii="Arial" w:cs="Arial" w:eastAsia="Arial" w:hAnsi="Arial"/>
          <w:sz w:val="14"/>
          <w:szCs w:val="14"/>
          <w:color w:val="auto"/>
        </w:rPr>
      </w:pPr>
    </w:p>
    <w:p>
      <w:pPr>
        <w:jc w:val="both"/>
        <w:ind w:firstLine="8"/>
        <w:spacing w:after="0" w:line="268" w:lineRule="auto"/>
        <w:tabs>
          <w:tab w:leader="none" w:pos="326" w:val="left"/>
        </w:tabs>
        <w:numPr>
          <w:ilvl w:val="0"/>
          <w:numId w:val="66"/>
        </w:numPr>
        <w:rPr>
          <w:rFonts w:ascii="Arial" w:cs="Arial" w:eastAsia="Arial" w:hAnsi="Arial"/>
          <w:sz w:val="13"/>
          <w:szCs w:val="13"/>
          <w:color w:val="auto"/>
        </w:rPr>
      </w:pPr>
      <w:r>
        <w:rPr>
          <w:rFonts w:ascii="Arial" w:cs="Arial" w:eastAsia="Arial" w:hAnsi="Arial"/>
          <w:sz w:val="13"/>
          <w:szCs w:val="13"/>
          <w:color w:val="auto"/>
        </w:rPr>
        <w:t>Based on information reported on a Schedule 13G/A filed on February 14, 2022, consists of (i) 774,039 shares held by Firstime Ventures L.P., (ii) 1,798,294 shares held by Firstime Investors A LP, (iii) 4,959,435 shares held by Firstime Ventures (A) L.P. (collectively, the “Firstime Entities”) and (iv) 213,940 shares held by Nextime Ventures I L.P. (“Nextime”). Firstime Ventures G.P Ltd. (“GPGP”), is the managing member of the Firstime Entities, and is the general partner of Firstime Ventures General Partner L.P., which in turn is the general partner of the Firstime Entities and may be deemed to have voting and dispositive power over the shares held by the Firstime Entities. Ilan Shiloah, Nir Tarlovsky and Jonathan Benartzi serve as Managing Partners of GPGP and may be deemed to share voting and dispositive power with respect to the shares held by the Firstime Entities. Firstime Ventures 2 G.P Ltd. (“GPGP 2”) is the general partner of Nextime Ventures General Partner L.P., which in turn is the general partner of Nextime. Ilan Shiloah, Nir Tarlovsky and Jonathan Benartzi serve as Managing Partners of GPGP 2 and may be deemed to share voting and dispositive power with respect to the shares held by Nextime. The address for these entities is 6 Hanehoshet Street, Tel-Aviv, Israel 6971070.</w:t>
      </w:r>
    </w:p>
    <w:p>
      <w:pPr>
        <w:spacing w:after="0" w:line="19" w:lineRule="exact"/>
        <w:rPr>
          <w:rFonts w:ascii="Arial" w:cs="Arial" w:eastAsia="Arial" w:hAnsi="Arial"/>
          <w:sz w:val="13"/>
          <w:szCs w:val="13"/>
          <w:color w:val="auto"/>
        </w:rPr>
      </w:pPr>
    </w:p>
    <w:p>
      <w:pPr>
        <w:ind w:firstLine="8"/>
        <w:spacing w:after="0" w:line="273" w:lineRule="auto"/>
        <w:tabs>
          <w:tab w:leader="none" w:pos="2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(i) 1,267,726 shares of common stock held directly by Oren Frank, (ii) 474,719 shares of common stock held by the Oren Frank 2018 Trust and (iii) 3,740,087 shares of common stock issuable upon the exercise of options or vesting of restricted stock units, exercisable as of or within 60 days of February 15, 2022.</w:t>
      </w:r>
    </w:p>
    <w:p>
      <w:pPr>
        <w:spacing w:after="0" w:line="11" w:lineRule="exact"/>
        <w:rPr>
          <w:rFonts w:ascii="Arial" w:cs="Arial" w:eastAsia="Arial" w:hAnsi="Arial"/>
          <w:sz w:val="14"/>
          <w:szCs w:val="14"/>
          <w:color w:val="auto"/>
        </w:rPr>
      </w:pPr>
    </w:p>
    <w:p>
      <w:pPr>
        <w:ind w:left="280" w:hanging="272"/>
        <w:spacing w:after="0"/>
        <w:tabs>
          <w:tab w:leader="none" w:pos="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Consists of 1,840,579 shares of common stock issuable upon the exercise of options or vesting of restricted stock units, exercisable as of or within 60 days of February 15, 2022.</w:t>
      </w:r>
    </w:p>
    <w:p>
      <w:pPr>
        <w:spacing w:after="0" w:line="66" w:lineRule="exact"/>
        <w:rPr>
          <w:rFonts w:ascii="Arial" w:cs="Arial" w:eastAsia="Arial" w:hAnsi="Arial"/>
          <w:sz w:val="13"/>
          <w:szCs w:val="13"/>
          <w:color w:val="auto"/>
        </w:rPr>
      </w:pPr>
    </w:p>
    <w:p>
      <w:pPr>
        <w:ind w:firstLine="8"/>
        <w:spacing w:after="0" w:line="273" w:lineRule="auto"/>
        <w:tabs>
          <w:tab w:leader="none" w:pos="246"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(i) 1,267,726 shares of common stock held directly by Roni Frank, (ii) 474,719 shares of common stock held by the Roni Frank 2018 Trust and (iii) 3,469,387 shares of common stock issuable upon the exercise of options or vesting of restricted stock units, exercisable as of or within 60 days of February 15, 2022.</w:t>
      </w:r>
    </w:p>
    <w:p>
      <w:pPr>
        <w:spacing w:after="0" w:line="11" w:lineRule="exact"/>
        <w:rPr>
          <w:rFonts w:ascii="Arial" w:cs="Arial" w:eastAsia="Arial" w:hAnsi="Arial"/>
          <w:sz w:val="14"/>
          <w:szCs w:val="14"/>
          <w:color w:val="auto"/>
        </w:rPr>
      </w:pPr>
    </w:p>
    <w:p>
      <w:pPr>
        <w:jc w:val="both"/>
        <w:ind w:firstLine="8"/>
        <w:spacing w:after="0" w:line="252" w:lineRule="auto"/>
        <w:tabs>
          <w:tab w:leader="none" w:pos="329"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(i) 2,274,446 shares of common stock owned jointly among Samara Braunstein and her spouse, including through a trust, (ii) 2,270,000 shares of common stock beneficially owned jointly among Ms. Braunstein and her spouse through the ownership of warrants exercisable within 60 days of the date of February 15, 2022 and (ii) 281,181 shares of common stock held directly by Ms. Braunstein issuable upon the exercise of options or vesting of restricted stock units, exercisable as of or within 60 days of February 15, 2022. Ms. Braunstein is the trustee of Braunstein 2015 Trust and therefore may be deemed to beneficially own the securities held by the Braunstein 2015 Trust.</w:t>
      </w:r>
    </w:p>
    <w:p>
      <w:pPr>
        <w:spacing w:after="0" w:line="25"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shares of common stock issuable upon the exercise of options or vesting of restricted stock units, exercisable as of or within 60 days of February 15, 2022.</w:t>
      </w:r>
    </w:p>
    <w:p>
      <w:pPr>
        <w:spacing w:after="0" w:line="55" w:lineRule="exact"/>
        <w:rPr>
          <w:rFonts w:ascii="Arial" w:cs="Arial" w:eastAsia="Arial" w:hAnsi="Arial"/>
          <w:sz w:val="14"/>
          <w:szCs w:val="14"/>
          <w:color w:val="auto"/>
        </w:rPr>
      </w:pPr>
    </w:p>
    <w:p>
      <w:pPr>
        <w:ind w:firstLine="8"/>
        <w:spacing w:after="0" w:line="273" w:lineRule="auto"/>
        <w:tabs>
          <w:tab w:leader="none" w:pos="314"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(i) 257,679 shares of common stock and (ii) 211,148 shares of common stock issuable upon the exercise of options or vesting of restricted stock units, exercisable as of or within 60 days of February 15, 2022.</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See footnote 1.</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Consists of shares of common stock held by NVP XIII. Mr. Crowe disclaims beneficial ownership of all such securities, except to the extent of any pecuniary interest therein. See footnote 2.</w:t>
      </w:r>
    </w:p>
    <w:p>
      <w:pPr>
        <w:spacing w:after="0" w:line="66" w:lineRule="exact"/>
        <w:rPr>
          <w:rFonts w:ascii="Arial" w:cs="Arial" w:eastAsia="Arial" w:hAnsi="Arial"/>
          <w:sz w:val="13"/>
          <w:szCs w:val="13"/>
          <w:color w:val="auto"/>
        </w:rPr>
      </w:pPr>
    </w:p>
    <w:p>
      <w:pPr>
        <w:ind w:firstLine="8"/>
        <w:spacing w:after="0" w:line="256" w:lineRule="auto"/>
        <w:tabs>
          <w:tab w:leader="none" w:pos="329"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shares of common stock held by Qumra II. Mr. Shachar disclaims beneficial ownership of the shares held of record by Qumra II except to the extent of his pecuniary interest therein. See footnote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5" w:lineRule="exact"/>
        <w:rPr>
          <w:sz w:val="20"/>
          <w:szCs w:val="20"/>
          <w:color w:val="auto"/>
        </w:rPr>
      </w:pPr>
    </w:p>
    <w:p>
      <w:pPr>
        <w:ind w:firstLine="8"/>
        <w:spacing w:after="0" w:line="273" w:lineRule="auto"/>
        <w:tabs>
          <w:tab w:leader="none" w:pos="319"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Consists of (i) 37,149,134 shares of common stock, (ii) 9,910,000 shares of common stock issuable upon the exercise of warrants and (iii) 3,265,249 shares of common stock issuable upon the exercise of options or vesting of restricted stock units, exercisable as of or within 60 days of February 15,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December 31, 2021</w:t>
      </w:r>
    </w:p>
    <w:tbl>
      <w:tblPr>
        <w:tblLayout w:type="fixed"/>
        <w:tblInd w:w="0" w:type="dxa"/>
        <w:tblCellMar>
          <w:top w:w="0" w:type="dxa"/>
          <w:left w:w="0" w:type="dxa"/>
          <w:bottom w:w="0" w:type="dxa"/>
          <w:right w:w="0" w:type="dxa"/>
        </w:tblCellMar>
      </w:tblPr>
      <w:tr>
        <w:trPr>
          <w:trHeight w:val="122"/>
        </w:trPr>
        <w:tc>
          <w:tcPr>
            <w:tcW w:w="4440" w:type="dxa"/>
            <w:vAlign w:val="bottom"/>
          </w:tcPr>
          <w:p>
            <w:pPr>
              <w:spacing w:after="0"/>
              <w:rPr>
                <w:sz w:val="10"/>
                <w:szCs w:val="10"/>
                <w:color w:val="auto"/>
              </w:rPr>
            </w:pPr>
          </w:p>
        </w:tc>
        <w:tc>
          <w:tcPr>
            <w:tcW w:w="2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Number of Securities to</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Number of Securities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vMerge w:val="restart"/>
          </w:tcPr>
          <w:p>
            <w:pPr>
              <w:jc w:val="center"/>
              <w:ind w:right="157"/>
              <w:spacing w:after="0"/>
              <w:rPr>
                <w:sz w:val="20"/>
                <w:szCs w:val="20"/>
                <w:color w:val="auto"/>
              </w:rPr>
            </w:pPr>
            <w:r>
              <w:rPr>
                <w:rFonts w:ascii="Arial" w:cs="Arial" w:eastAsia="Arial" w:hAnsi="Arial"/>
                <w:sz w:val="13"/>
                <w:szCs w:val="13"/>
                <w:b w:val="1"/>
                <w:bCs w:val="1"/>
                <w:color w:val="auto"/>
                <w:w w:val="87"/>
              </w:rPr>
              <w:t>Weighted-Average</w:t>
            </w:r>
          </w:p>
        </w:tc>
        <w:tc>
          <w:tcPr>
            <w:tcW w:w="160" w:type="dxa"/>
            <w:vAlign w:val="bottom"/>
          </w:tcPr>
          <w:p>
            <w:pPr>
              <w:spacing w:after="0"/>
              <w:rPr>
                <w:sz w:val="10"/>
                <w:szCs w:val="10"/>
                <w:color w:val="auto"/>
              </w:rPr>
            </w:pPr>
          </w:p>
        </w:tc>
        <w:tc>
          <w:tcPr>
            <w:tcW w:w="2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Available for Future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40" w:type="dxa"/>
            <w:vAlign w:val="bottom"/>
          </w:tcPr>
          <w:p>
            <w:pPr>
              <w:spacing w:after="0"/>
              <w:rPr>
                <w:sz w:val="10"/>
                <w:szCs w:val="10"/>
                <w:color w:val="auto"/>
              </w:rPr>
            </w:pPr>
          </w:p>
        </w:tc>
        <w:tc>
          <w:tcPr>
            <w:tcW w:w="24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be Issued Upon Exercise</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Issuance Under 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40" w:type="dxa"/>
            <w:vAlign w:val="bottom"/>
          </w:tcPr>
          <w:p>
            <w:pPr>
              <w:spacing w:after="0"/>
              <w:rPr>
                <w:sz w:val="10"/>
                <w:szCs w:val="10"/>
                <w:color w:val="auto"/>
              </w:rPr>
            </w:pPr>
          </w:p>
        </w:tc>
        <w:tc>
          <w:tcPr>
            <w:tcW w:w="24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of Outstanding Options,</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jc w:val="center"/>
              <w:ind w:right="177"/>
              <w:spacing w:after="0" w:line="122" w:lineRule="exact"/>
              <w:rPr>
                <w:sz w:val="20"/>
                <w:szCs w:val="20"/>
                <w:color w:val="auto"/>
              </w:rPr>
            </w:pPr>
            <w:r>
              <w:rPr>
                <w:rFonts w:ascii="Arial" w:cs="Arial" w:eastAsia="Arial" w:hAnsi="Arial"/>
                <w:sz w:val="13"/>
                <w:szCs w:val="13"/>
                <w:b w:val="1"/>
                <w:bCs w:val="1"/>
                <w:color w:val="auto"/>
                <w:w w:val="85"/>
              </w:rPr>
              <w:t>Exercise Price of</w:t>
            </w:r>
          </w:p>
        </w:tc>
        <w:tc>
          <w:tcPr>
            <w:tcW w:w="160" w:type="dxa"/>
            <w:vAlign w:val="bottom"/>
          </w:tcPr>
          <w:p>
            <w:pPr>
              <w:spacing w:after="0"/>
              <w:rPr>
                <w:sz w:val="10"/>
                <w:szCs w:val="10"/>
                <w:color w:val="auto"/>
              </w:rPr>
            </w:pPr>
          </w:p>
        </w:tc>
        <w:tc>
          <w:tcPr>
            <w:tcW w:w="2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Compensation Plans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440" w:type="dxa"/>
            <w:vAlign w:val="bottom"/>
          </w:tcPr>
          <w:p>
            <w:pPr>
              <w:spacing w:after="0"/>
              <w:rPr>
                <w:sz w:val="10"/>
                <w:szCs w:val="10"/>
                <w:color w:val="auto"/>
              </w:rPr>
            </w:pPr>
          </w:p>
        </w:tc>
        <w:tc>
          <w:tcPr>
            <w:tcW w:w="24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Warrants, and Rights and Vesting of Stock</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jc w:val="center"/>
              <w:ind w:right="157"/>
              <w:spacing w:after="0" w:line="122" w:lineRule="exact"/>
              <w:rPr>
                <w:sz w:val="20"/>
                <w:szCs w:val="20"/>
                <w:color w:val="auto"/>
              </w:rPr>
            </w:pPr>
            <w:r>
              <w:rPr>
                <w:rFonts w:ascii="Arial" w:cs="Arial" w:eastAsia="Arial" w:hAnsi="Arial"/>
                <w:sz w:val="13"/>
                <w:szCs w:val="13"/>
                <w:b w:val="1"/>
                <w:bCs w:val="1"/>
                <w:color w:val="auto"/>
                <w:w w:val="87"/>
              </w:rPr>
              <w:t>Outstanding Options,</w:t>
            </w:r>
          </w:p>
        </w:tc>
        <w:tc>
          <w:tcPr>
            <w:tcW w:w="160" w:type="dxa"/>
            <w:vAlign w:val="bottom"/>
          </w:tcPr>
          <w:p>
            <w:pPr>
              <w:spacing w:after="0"/>
              <w:rPr>
                <w:sz w:val="10"/>
                <w:szCs w:val="10"/>
                <w:color w:val="auto"/>
              </w:rPr>
            </w:pPr>
          </w:p>
        </w:tc>
        <w:tc>
          <w:tcPr>
            <w:tcW w:w="2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2"/>
              </w:rPr>
              <w:t>(excludes securities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0"/>
              <w:spacing w:after="0"/>
              <w:rPr>
                <w:sz w:val="20"/>
                <w:szCs w:val="20"/>
                <w:color w:val="auto"/>
              </w:rPr>
            </w:pPr>
            <w:r>
              <w:rPr>
                <w:rFonts w:ascii="Arial" w:cs="Arial" w:eastAsia="Arial" w:hAnsi="Arial"/>
                <w:sz w:val="13"/>
                <w:szCs w:val="13"/>
                <w:b w:val="1"/>
                <w:bCs w:val="1"/>
                <w:color w:val="auto"/>
              </w:rPr>
              <w:t>Plan category:</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Awards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8"/>
              </w:rPr>
              <w:t>Warrants, and Rights</w:t>
            </w:r>
          </w:p>
        </w:tc>
        <w:tc>
          <w:tcPr>
            <w:tcW w:w="16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Reflected in first column)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Equity compensation plans not approved by security holders</w:t>
            </w:r>
          </w:p>
        </w:tc>
        <w:tc>
          <w:tcPr>
            <w:tcW w:w="2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Equity compensation plans approved by security holders </w:t>
            </w:r>
            <w:r>
              <w:rPr>
                <w:rFonts w:ascii="Arial" w:cs="Arial" w:eastAsia="Arial" w:hAnsi="Arial"/>
                <w:sz w:val="16"/>
                <w:szCs w:val="16"/>
                <w:color w:val="auto"/>
                <w:vertAlign w:val="superscript"/>
              </w:rPr>
              <w:t>(1) (2)</w:t>
            </w:r>
          </w:p>
        </w:tc>
        <w:tc>
          <w:tcPr>
            <w:tcW w:w="2400" w:type="dxa"/>
            <w:vAlign w:val="bottom"/>
          </w:tcPr>
          <w:p>
            <w:pPr>
              <w:jc w:val="right"/>
              <w:spacing w:after="0"/>
              <w:rPr>
                <w:sz w:val="20"/>
                <w:szCs w:val="20"/>
                <w:color w:val="auto"/>
              </w:rPr>
            </w:pPr>
            <w:r>
              <w:rPr>
                <w:rFonts w:ascii="Arial" w:cs="Arial" w:eastAsia="Arial" w:hAnsi="Arial"/>
                <w:sz w:val="13"/>
                <w:szCs w:val="13"/>
                <w:color w:val="auto"/>
              </w:rPr>
              <w:t>22,474,296</w:t>
            </w:r>
          </w:p>
        </w:tc>
        <w:tc>
          <w:tcPr>
            <w:tcW w:w="40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2.26</w:t>
            </w:r>
          </w:p>
        </w:tc>
        <w:tc>
          <w:tcPr>
            <w:tcW w:w="2260" w:type="dxa"/>
            <w:vAlign w:val="bottom"/>
            <w:gridSpan w:val="2"/>
          </w:tcPr>
          <w:p>
            <w:pPr>
              <w:jc w:val="right"/>
              <w:spacing w:after="0"/>
              <w:rPr>
                <w:sz w:val="20"/>
                <w:szCs w:val="20"/>
                <w:color w:val="auto"/>
              </w:rPr>
            </w:pPr>
            <w:r>
              <w:rPr>
                <w:rFonts w:ascii="Arial" w:cs="Arial" w:eastAsia="Arial" w:hAnsi="Arial"/>
                <w:sz w:val="13"/>
                <w:szCs w:val="13"/>
                <w:color w:val="auto"/>
              </w:rPr>
              <w:t>11,851,649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Total</w:t>
            </w:r>
          </w:p>
        </w:tc>
        <w:tc>
          <w:tcPr>
            <w:tcW w:w="24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22,474,296</w:t>
            </w:r>
          </w:p>
        </w:tc>
        <w:tc>
          <w:tcPr>
            <w:tcW w:w="18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17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2.26</w:t>
            </w:r>
          </w:p>
        </w:tc>
        <w:tc>
          <w:tcPr>
            <w:tcW w:w="160" w:type="dxa"/>
            <w:vAlign w:val="bottom"/>
            <w:shd w:val="clear" w:color="auto" w:fill="CFF0FC"/>
          </w:tcPr>
          <w:p>
            <w:pPr>
              <w:spacing w:after="0"/>
              <w:rPr>
                <w:sz w:val="12"/>
                <w:szCs w:val="12"/>
                <w:color w:val="auto"/>
              </w:rPr>
            </w:pPr>
          </w:p>
        </w:tc>
        <w:tc>
          <w:tcPr>
            <w:tcW w:w="2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11,851,649</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8"/>
        <w:spacing w:after="0" w:line="270" w:lineRule="auto"/>
        <w:tabs>
          <w:tab w:leader="none" w:pos="205"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Consists of the 2014 Stock Incentive Plan (the “2014 Plan”), 2021 Incentive Award Plan (the “2021 Plan”) and 2021 Employee Stock Purchase Plan (the “2021 ESPP”). The number of shares of common stock reserved for issuance under the 2021 Plan will increased on the first day of each calendar year beginning on January 1, 2022 and ending on and including January 1, 2031, by a number equal to the lesser of (i) a number equal to five percent (5%) of the aggregate number of shares of common stock outstanding on the final day of the immediately preceding calendar year and (ii) such smaller number of Shares (as defined in the 2021 Plan) as is determined by the board of directors. The number of shares of common stock reserved for issuance under the 2021 ESPP will also increase on the first day of each calendar year beginning on January 1, 2022 and ending on and including January 1, 2031 by a equal to the lesser of (a) one percent (1%) of the aggregate number of Shares outstanding on the final day of the immediately preceding calendar year and (b) such smaller number of Shares as determined by the board of directors.</w:t>
      </w:r>
    </w:p>
    <w:p>
      <w:pPr>
        <w:spacing w:after="0" w:line="16" w:lineRule="exact"/>
        <w:rPr>
          <w:rFonts w:ascii="Arial" w:cs="Arial" w:eastAsia="Arial" w:hAnsi="Arial"/>
          <w:sz w:val="13"/>
          <w:szCs w:val="13"/>
          <w:color w:val="auto"/>
        </w:rPr>
      </w:pPr>
    </w:p>
    <w:p>
      <w:pPr>
        <w:ind w:firstLine="8"/>
        <w:spacing w:after="0" w:line="273" w:lineRule="auto"/>
        <w:tabs>
          <w:tab w:leader="none" w:pos="261"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Consists of 20,144,202 outstanding options under the 2014 Plan and 2021 Plan (including 650,000 warrants issued to consultant) and 2,330,094 nonvested restricted stock units under the 2021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Board of Directors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and Transactions with Directors, Executive Officers and Significant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HEC Related Person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execution of the Merger Agreement, HEC, the HEC Insiders and Talkspace entered into the Sponsor Support Agreement pursuant to which the HEC Insiders agreed to, among other things, vote to adopt and approve the Merger Agreement and the Transactions, in each case, subject to the terms and conditions of the Sponsor Support Agreement.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the Closing, HEC, the Sponsor, Talkspace’s independent directors, certain former stockholders of Talkspace and certain other parties thereto entered into an Amended and Restated Registration Rights Agreement, pursuant to which pursuant to which Talkspace, Inc. agreed to register for resale, pursuant to Rule 415 under the Securities Act, certain shares of Talkspace common stock and other equity securities of Talkspace that are held by the parties thereto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Talkspace Related Person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Officer Indemnification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Certificate of Incorporation provides for indemnification and advancement of expenses for our directors and officers to the fullest extent permitted by the DGCL, subject to certain limited exceptions. In connection with the Closing, Talkspace we entered into indemnification agreements with each director and executive officer of Talkspace, Inc.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Talkspace PIPE Investors entered into subscription agreements with HEC, pursuant to which the Talkspace PIPE Investors subscribed for shares of Talkspace, Inc.’s common stock in connection with the PIPE Investment.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board of directors has determined that each of Jeffrey Crowe, Madhu Pawar, Erez Shachar, Curtis Warfield and Jacqueline Yeaney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Jeffrey Crowe and Erez Shachar are affiliated with certain of our significant stockholders.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table summarizes the fees of Kost Forer Gabbay &amp; Kasierer, a member of Ernst &amp; Young Global (“Kost Forer Gabbay &amp; Kasierer”), our independent registered public accounting firm, billed to us for each of the last two fiscal years for audit services and billed to us for the years ended December 31, 2021 and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gridSpan w:val="3"/>
          </w:tcPr>
          <w:p>
            <w:pPr>
              <w:jc w:val="center"/>
              <w:ind w:left="817"/>
              <w:spacing w:after="0"/>
              <w:rPr>
                <w:sz w:val="20"/>
                <w:szCs w:val="20"/>
                <w:color w:val="auto"/>
              </w:rPr>
            </w:pPr>
            <w:r>
              <w:rPr>
                <w:rFonts w:ascii="Arial" w:cs="Arial" w:eastAsia="Arial" w:hAnsi="Arial"/>
                <w:sz w:val="13"/>
                <w:szCs w:val="13"/>
                <w:b w:val="1"/>
                <w:bCs w:val="1"/>
                <w:color w:val="auto"/>
                <w:w w:val="86"/>
              </w:rPr>
              <w:t>Year Ended</w:t>
            </w: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7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817"/>
              <w:spacing w:after="0"/>
              <w:rPr>
                <w:sz w:val="20"/>
                <w:szCs w:val="20"/>
                <w:color w:val="auto"/>
              </w:rPr>
            </w:pPr>
            <w:r>
              <w:rPr>
                <w:rFonts w:ascii="Arial" w:cs="Arial" w:eastAsia="Arial" w:hAnsi="Arial"/>
                <w:sz w:val="13"/>
                <w:szCs w:val="13"/>
                <w:b w:val="1"/>
                <w:bCs w:val="1"/>
                <w:color w:val="auto"/>
                <w:w w:val="87"/>
              </w:rPr>
              <w:t>December 31,</w:t>
            </w:r>
          </w:p>
        </w:tc>
        <w:tc>
          <w:tcPr>
            <w:tcW w:w="1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300" w:type="dxa"/>
            <w:vAlign w:val="bottom"/>
          </w:tcPr>
          <w:p>
            <w:pPr>
              <w:ind w:left="20"/>
              <w:spacing w:after="0" w:line="142" w:lineRule="exact"/>
              <w:rPr>
                <w:sz w:val="20"/>
                <w:szCs w:val="20"/>
                <w:color w:val="auto"/>
              </w:rPr>
            </w:pPr>
            <w:r>
              <w:rPr>
                <w:rFonts w:ascii="Arial" w:cs="Arial" w:eastAsia="Arial" w:hAnsi="Arial"/>
                <w:sz w:val="13"/>
                <w:szCs w:val="13"/>
                <w:i w:val="1"/>
                <w:iCs w:val="1"/>
                <w:color w:val="auto"/>
              </w:rPr>
              <w:t>(in thousands)</w:t>
            </w: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37"/>
              <w:spacing w:after="0" w:line="142" w:lineRule="exact"/>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17"/>
              <w:spacing w:after="0" w:line="142"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2"/>
                <w:szCs w:val="12"/>
                <w:color w:val="auto"/>
              </w:rPr>
            </w:pPr>
          </w:p>
        </w:tc>
      </w:tr>
      <w:tr>
        <w:trPr>
          <w:trHeight w:val="142"/>
        </w:trPr>
        <w:tc>
          <w:tcPr>
            <w:tcW w:w="73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Fee Category:</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730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Audit Fees </w:t>
            </w:r>
            <w:r>
              <w:rPr>
                <w:rFonts w:ascii="Arial" w:cs="Arial" w:eastAsia="Arial" w:hAnsi="Arial"/>
                <w:sz w:val="16"/>
                <w:szCs w:val="16"/>
                <w:color w:val="auto"/>
                <w:vertAlign w:val="superscript"/>
              </w:rPr>
              <w:t>(1)</w:t>
            </w: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665</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w:t>
            </w:r>
          </w:p>
        </w:tc>
        <w:tc>
          <w:tcPr>
            <w:tcW w:w="40" w:type="dxa"/>
            <w:vAlign w:val="bottom"/>
            <w:shd w:val="clear" w:color="auto" w:fill="CFF0FC"/>
          </w:tcPr>
          <w:p>
            <w:pPr>
              <w:spacing w:after="0"/>
              <w:rPr>
                <w:sz w:val="12"/>
                <w:szCs w:val="12"/>
                <w:color w:val="auto"/>
              </w:rPr>
            </w:pPr>
          </w:p>
        </w:tc>
      </w:tr>
      <w:tr>
        <w:trPr>
          <w:trHeight w:val="148"/>
        </w:trPr>
        <w:tc>
          <w:tcPr>
            <w:tcW w:w="730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Audit-Related Fees </w:t>
            </w:r>
            <w:r>
              <w:rPr>
                <w:rFonts w:ascii="Arial" w:cs="Arial" w:eastAsia="Arial" w:hAnsi="Arial"/>
                <w:sz w:val="16"/>
                <w:szCs w:val="16"/>
                <w:color w:val="auto"/>
                <w:vertAlign w:val="superscript"/>
              </w:rPr>
              <w:t>(2)</w:t>
            </w:r>
          </w:p>
        </w:tc>
        <w:tc>
          <w:tcPr>
            <w:tcW w:w="4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150</w:t>
            </w:r>
          </w:p>
        </w:tc>
        <w:tc>
          <w:tcPr>
            <w:tcW w:w="40" w:type="dxa"/>
            <w:vAlign w:val="bottom"/>
          </w:tcPr>
          <w:p>
            <w:pPr>
              <w:spacing w:after="0"/>
              <w:rPr>
                <w:sz w:val="12"/>
                <w:szCs w:val="12"/>
                <w:color w:val="auto"/>
              </w:rPr>
            </w:pPr>
          </w:p>
        </w:tc>
      </w:tr>
      <w:tr>
        <w:trPr>
          <w:trHeight w:val="148"/>
        </w:trPr>
        <w:tc>
          <w:tcPr>
            <w:tcW w:w="7300" w:type="dxa"/>
            <w:vAlign w:val="bottom"/>
            <w:tcBorders>
              <w:bottom w:val="single" w:sz="8" w:color="CFF0FC"/>
            </w:tcBorders>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Tax Fees </w:t>
            </w:r>
            <w:r>
              <w:rPr>
                <w:rFonts w:ascii="Arial" w:cs="Arial" w:eastAsia="Arial" w:hAnsi="Arial"/>
                <w:sz w:val="16"/>
                <w:szCs w:val="16"/>
                <w:color w:val="auto"/>
                <w:vertAlign w:val="superscript"/>
              </w:rPr>
              <w:t>(3)</w:t>
            </w:r>
          </w:p>
        </w:tc>
        <w:tc>
          <w:tcPr>
            <w:tcW w:w="4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24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40" w:type="dxa"/>
            <w:vAlign w:val="bottom"/>
            <w:tcBorders>
              <w:bottom w:val="single" w:sz="8" w:color="CFF0FC"/>
            </w:tcBorders>
            <w:shd w:val="clear" w:color="auto" w:fill="CFF0FC"/>
          </w:tcPr>
          <w:p>
            <w:pPr>
              <w:spacing w:after="0"/>
              <w:rPr>
                <w:sz w:val="12"/>
                <w:szCs w:val="12"/>
                <w:color w:val="auto"/>
              </w:rPr>
            </w:pPr>
          </w:p>
        </w:tc>
      </w:tr>
      <w:tr>
        <w:trPr>
          <w:trHeight w:val="142"/>
        </w:trPr>
        <w:tc>
          <w:tcPr>
            <w:tcW w:w="7300" w:type="dxa"/>
            <w:vAlign w:val="bottom"/>
          </w:tcPr>
          <w:p>
            <w:pPr>
              <w:ind w:left="20"/>
              <w:spacing w:after="0" w:line="142" w:lineRule="exact"/>
              <w:rPr>
                <w:sz w:val="20"/>
                <w:szCs w:val="20"/>
                <w:color w:val="auto"/>
              </w:rPr>
            </w:pPr>
            <w:r>
              <w:rPr>
                <w:rFonts w:ascii="Arial" w:cs="Arial" w:eastAsia="Arial" w:hAnsi="Arial"/>
                <w:sz w:val="13"/>
                <w:szCs w:val="13"/>
                <w:color w:val="auto"/>
              </w:rPr>
              <w:t>Total Fees</w:t>
            </w:r>
          </w:p>
        </w:tc>
        <w:tc>
          <w:tcPr>
            <w:tcW w:w="440" w:type="dxa"/>
            <w:vAlign w:val="bottom"/>
          </w:tcPr>
          <w:p>
            <w:pPr>
              <w:jc w:val="right"/>
              <w:ind w:right="297"/>
              <w:spacing w:after="0" w:line="142" w:lineRule="exact"/>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731</w:t>
            </w:r>
          </w:p>
        </w:tc>
        <w:tc>
          <w:tcPr>
            <w:tcW w:w="740" w:type="dxa"/>
            <w:vAlign w:val="bottom"/>
            <w:gridSpan w:val="2"/>
          </w:tcPr>
          <w:p>
            <w:pPr>
              <w:jc w:val="right"/>
              <w:ind w:right="420"/>
              <w:spacing w:after="0" w:line="142"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490</w:t>
            </w:r>
          </w:p>
        </w:tc>
        <w:tc>
          <w:tcPr>
            <w:tcW w:w="40" w:type="dxa"/>
            <w:vAlign w:val="bottom"/>
          </w:tcPr>
          <w:p>
            <w:pPr>
              <w:spacing w:after="0"/>
              <w:rPr>
                <w:sz w:val="12"/>
                <w:szCs w:val="12"/>
                <w:color w:val="auto"/>
              </w:rPr>
            </w:pPr>
          </w:p>
        </w:tc>
      </w:tr>
      <w:tr>
        <w:trPr>
          <w:trHeight w:val="20"/>
        </w:trPr>
        <w:tc>
          <w:tcPr>
            <w:tcW w:w="7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-125095</wp:posOffset>
            </wp:positionV>
            <wp:extent cx="3429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-125095</wp:posOffset>
            </wp:positionV>
            <wp:extent cx="2603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75" w:lineRule="exact"/>
        <w:rPr>
          <w:sz w:val="20"/>
          <w:szCs w:val="20"/>
          <w:color w:val="auto"/>
        </w:rPr>
      </w:pPr>
    </w:p>
    <w:p>
      <w:pPr>
        <w:ind w:left="1020" w:hanging="503"/>
        <w:spacing w:after="0" w:line="257" w:lineRule="auto"/>
        <w:tabs>
          <w:tab w:leader="none" w:pos="10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Fees for audit services include fees associated with the annual audit, reviews of the Company's quarterly reports on Form 10-Q and statutory audits required internationally. The 2021 fees include comfort letters; consents and assistance with and review of documents filed with the SEC.</w:t>
      </w:r>
    </w:p>
    <w:p>
      <w:pPr>
        <w:ind w:left="1020" w:hanging="503"/>
        <w:spacing w:after="0"/>
        <w:tabs>
          <w:tab w:leader="none" w:pos="10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Audit-related fees include vendor due diligence.</w:t>
      </w:r>
    </w:p>
    <w:p>
      <w:pPr>
        <w:spacing w:after="0" w:line="24" w:lineRule="exact"/>
        <w:rPr>
          <w:rFonts w:ascii="Arial" w:cs="Arial" w:eastAsia="Arial" w:hAnsi="Arial"/>
          <w:sz w:val="15"/>
          <w:szCs w:val="15"/>
          <w:color w:val="auto"/>
        </w:rPr>
      </w:pPr>
    </w:p>
    <w:p>
      <w:pPr>
        <w:ind w:left="1020" w:hanging="503"/>
        <w:spacing w:after="0"/>
        <w:tabs>
          <w:tab w:leader="none" w:pos="10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Tax fees consist of tax compliance including the review and filing of tax returns and tax advice services.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Kost Forer Gabbay &amp; Kasierer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Kost Forer Gabbay &amp; Kasierer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 periodic basis, the Audit Committee reviews and generally pre-approves the services (and related fee levels or budgeted amounts) that may be provided by Kost Forer Gabbay &amp; Kasierer without first obtaining specific pre-approval from the Audit Committee. The Audit Committee may revise the list of general pre-approved services from time to time, based on subsequent determinations.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b w:val="1"/>
          <w:bCs w:val="1"/>
          <w:color w:val="auto"/>
        </w:rPr>
        <w:t>PART IV</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w:t>
      </w:r>
    </w:p>
    <w:p>
      <w:pPr>
        <w:spacing w:after="0" w:line="104" w:lineRule="exact"/>
        <w:rPr>
          <w:sz w:val="20"/>
          <w:szCs w:val="20"/>
          <w:color w:val="auto"/>
        </w:rPr>
      </w:pPr>
    </w:p>
    <w:p>
      <w:pPr>
        <w:ind w:left="1400" w:hanging="374"/>
        <w:spacing w:after="0" w:line="261" w:lineRule="auto"/>
        <w:tabs>
          <w:tab w:leader="none" w:pos="14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Our Consolidated Financial Statements are listed in the Index to Consolidated Financial Statements and Supplemental Data filed as part of this Form 10-K. See Item 8 (pages 71 to 98)</w:t>
      </w:r>
    </w:p>
    <w:p>
      <w:pPr>
        <w:spacing w:after="0" w:line="62" w:lineRule="exact"/>
        <w:rPr>
          <w:rFonts w:ascii="Arial" w:cs="Arial" w:eastAsia="Arial" w:hAnsi="Arial"/>
          <w:sz w:val="18"/>
          <w:szCs w:val="18"/>
          <w:color w:val="auto"/>
        </w:rPr>
      </w:pPr>
    </w:p>
    <w:p>
      <w:pPr>
        <w:ind w:left="1400" w:hanging="374"/>
        <w:spacing w:after="0"/>
        <w:tabs>
          <w:tab w:leader="none" w:pos="14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3" w:lineRule="exact"/>
        <w:rPr>
          <w:rFonts w:ascii="Arial" w:cs="Arial" w:eastAsia="Arial" w:hAnsi="Arial"/>
          <w:sz w:val="18"/>
          <w:szCs w:val="18"/>
          <w:color w:val="auto"/>
        </w:rPr>
      </w:pPr>
    </w:p>
    <w:p>
      <w:pPr>
        <w:ind w:left="1400" w:hanging="374"/>
        <w:spacing w:after="0" w:line="261" w:lineRule="auto"/>
        <w:tabs>
          <w:tab w:leader="none" w:pos="14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exhibits which are filed with this Form 10-K or are incorporated herein by reference are set forth in the Exhibit Index (pages 127 to 128).</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 the Exhibit Index included hereinafter on pages 127 to 128</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Statement Schedules excluded from the annual report to stockholders</w:t>
      </w:r>
    </w:p>
    <w:p>
      <w:pPr>
        <w:spacing w:after="0" w:line="1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None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Exhibit Index</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7"/>
            <w:vMerge w:val="restart"/>
          </w:tcPr>
          <w:p>
            <w:pPr>
              <w:jc w:val="center"/>
              <w:ind w:right="40"/>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Incorporated by Reference</w:t>
            </w:r>
          </w:p>
        </w:tc>
        <w:tc>
          <w:tcPr>
            <w:tcW w:w="640" w:type="dxa"/>
            <w:vAlign w:val="bottom"/>
            <w:tcBorders>
              <w:bottom w:val="single" w:sz="8" w:color="auto"/>
            </w:tcBorders>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File/Furnished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60" w:type="dxa"/>
            <w:vAlign w:val="bottom"/>
            <w:gridSpan w:val="25"/>
            <w:vMerge w:val="restart"/>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Filing</w:t>
            </w: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25"/>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28"/>
        </w:trPr>
        <w:tc>
          <w:tcPr>
            <w:tcW w:w="340" w:type="dxa"/>
            <w:vAlign w:val="bottom"/>
            <w:gridSpan w:val="6"/>
          </w:tcPr>
          <w:p>
            <w:pPr>
              <w:ind w:left="20"/>
              <w:spacing w:after="0" w:line="129" w:lineRule="exact"/>
              <w:rPr>
                <w:rFonts w:ascii="Arial" w:cs="Arial" w:eastAsia="Arial" w:hAnsi="Arial"/>
                <w:sz w:val="14"/>
                <w:szCs w:val="14"/>
                <w:color w:val="0000FF"/>
              </w:rPr>
            </w:pPr>
            <w:hyperlink r:id="rId416">
              <w:r>
                <w:rPr>
                  <w:rFonts w:ascii="Arial" w:cs="Arial" w:eastAsia="Arial" w:hAnsi="Arial"/>
                  <w:sz w:val="14"/>
                  <w:szCs w:val="14"/>
                  <w:color w:val="0000FF"/>
                </w:rPr>
                <w:t>2.</w:t>
              </w:r>
              <w:r>
                <w:rPr>
                  <w:rFonts w:ascii="Arial" w:cs="Arial" w:eastAsia="Arial" w:hAnsi="Arial"/>
                  <w:sz w:val="14"/>
                  <w:szCs w:val="14"/>
                  <w:u w:val="single" w:color="auto"/>
                  <w:color w:val="0000FF"/>
                </w:rPr>
                <w:t>1</w:t>
              </w:r>
            </w:hyperlink>
            <w:r>
              <w:rPr>
                <w:rFonts w:ascii="Arial" w:cs="Arial" w:eastAsia="Arial" w:hAnsi="Arial"/>
                <w:sz w:val="14"/>
                <w:szCs w:val="14"/>
                <w:color w:val="000000"/>
                <w:highlight w:val="white"/>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140" w:type="dxa"/>
            <w:vAlign w:val="bottom"/>
            <w:gridSpan w:val="41"/>
          </w:tcPr>
          <w:p>
            <w:pPr>
              <w:spacing w:after="0" w:line="129" w:lineRule="exact"/>
              <w:rPr>
                <w:rFonts w:ascii="Arial" w:cs="Arial" w:eastAsia="Arial" w:hAnsi="Arial"/>
                <w:sz w:val="14"/>
                <w:szCs w:val="14"/>
                <w:color w:val="0000FF"/>
              </w:rPr>
            </w:pPr>
            <w:hyperlink r:id="rId416">
              <w:r>
                <w:rPr>
                  <w:rFonts w:ascii="Arial" w:cs="Arial" w:eastAsia="Arial" w:hAnsi="Arial"/>
                  <w:sz w:val="14"/>
                  <w:szCs w:val="14"/>
                  <w:color w:val="0000FF"/>
                </w:rPr>
                <w:t>Agreement and Plan of Merger, dated as of January 12, 2021, by and among Hudson Executive</w:t>
              </w:r>
            </w:hyperlink>
          </w:p>
        </w:tc>
        <w:tc>
          <w:tcPr>
            <w:tcW w:w="620" w:type="dxa"/>
            <w:vAlign w:val="bottom"/>
          </w:tcPr>
          <w:p>
            <w:pPr>
              <w:jc w:val="center"/>
              <w:spacing w:after="0" w:line="129" w:lineRule="exact"/>
              <w:rPr>
                <w:sz w:val="20"/>
                <w:szCs w:val="20"/>
                <w:color w:val="auto"/>
              </w:rPr>
            </w:pPr>
            <w:r>
              <w:rPr>
                <w:rFonts w:ascii="Arial" w:cs="Arial" w:eastAsia="Arial" w:hAnsi="Arial"/>
                <w:sz w:val="14"/>
                <w:szCs w:val="14"/>
                <w:color w:val="auto"/>
                <w:w w:val="91"/>
              </w:rPr>
              <w:t>S-4</w:t>
            </w:r>
          </w:p>
        </w:tc>
        <w:tc>
          <w:tcPr>
            <w:tcW w:w="1040" w:type="dxa"/>
            <w:vAlign w:val="bottom"/>
          </w:tcPr>
          <w:p>
            <w:pPr>
              <w:jc w:val="center"/>
              <w:ind w:left="28"/>
              <w:spacing w:after="0" w:line="129" w:lineRule="exact"/>
              <w:rPr>
                <w:sz w:val="20"/>
                <w:szCs w:val="20"/>
                <w:color w:val="auto"/>
              </w:rPr>
            </w:pPr>
            <w:r>
              <w:rPr>
                <w:rFonts w:ascii="Arial" w:cs="Arial" w:eastAsia="Arial" w:hAnsi="Arial"/>
                <w:sz w:val="14"/>
                <w:szCs w:val="14"/>
                <w:color w:val="auto"/>
                <w:w w:val="93"/>
              </w:rPr>
              <w:t>333-252638</w:t>
            </w:r>
          </w:p>
        </w:tc>
        <w:tc>
          <w:tcPr>
            <w:tcW w:w="760" w:type="dxa"/>
            <w:vAlign w:val="bottom"/>
          </w:tcPr>
          <w:p>
            <w:pPr>
              <w:jc w:val="center"/>
              <w:spacing w:after="0" w:line="129" w:lineRule="exact"/>
              <w:rPr>
                <w:sz w:val="20"/>
                <w:szCs w:val="20"/>
                <w:color w:val="auto"/>
              </w:rPr>
            </w:pPr>
            <w:r>
              <w:rPr>
                <w:rFonts w:ascii="Arial" w:cs="Arial" w:eastAsia="Arial" w:hAnsi="Arial"/>
                <w:sz w:val="14"/>
                <w:szCs w:val="14"/>
                <w:color w:val="auto"/>
                <w:w w:val="92"/>
              </w:rPr>
              <w:t>2.1</w:t>
            </w:r>
          </w:p>
        </w:tc>
        <w:tc>
          <w:tcPr>
            <w:tcW w:w="640" w:type="dxa"/>
            <w:vAlign w:val="bottom"/>
          </w:tcPr>
          <w:p>
            <w:pPr>
              <w:jc w:val="center"/>
              <w:spacing w:after="0" w:line="129" w:lineRule="exact"/>
              <w:rPr>
                <w:sz w:val="20"/>
                <w:szCs w:val="20"/>
                <w:color w:val="auto"/>
              </w:rPr>
            </w:pPr>
            <w:r>
              <w:rPr>
                <w:rFonts w:ascii="Arial" w:cs="Arial" w:eastAsia="Arial" w:hAnsi="Arial"/>
                <w:sz w:val="14"/>
                <w:szCs w:val="14"/>
                <w:color w:val="auto"/>
                <w:w w:val="92"/>
              </w:rPr>
              <w:t>2/2/21</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00" w:type="dxa"/>
            <w:vAlign w:val="bottom"/>
            <w:tcBorders>
              <w:top w:val="single" w:sz="8" w:color="0000FF"/>
              <w:bottom w:val="single" w:sz="8" w:color="0000FF"/>
            </w:tcBorders>
            <w:gridSpan w:val="28"/>
          </w:tcPr>
          <w:p>
            <w:pPr>
              <w:spacing w:after="0" w:line="129" w:lineRule="exact"/>
              <w:rPr>
                <w:rFonts w:ascii="Arial" w:cs="Arial" w:eastAsia="Arial" w:hAnsi="Arial"/>
                <w:sz w:val="14"/>
                <w:szCs w:val="14"/>
                <w:color w:val="0000FF"/>
                <w:w w:val="93"/>
              </w:rPr>
            </w:pPr>
            <w:hyperlink r:id="rId416">
              <w:r>
                <w:rPr>
                  <w:rFonts w:ascii="Arial" w:cs="Arial" w:eastAsia="Arial" w:hAnsi="Arial"/>
                  <w:sz w:val="14"/>
                  <w:szCs w:val="14"/>
                  <w:color w:val="0000FF"/>
                  <w:w w:val="93"/>
                </w:rPr>
                <w:t>Investment Corp., Tailwind Merger Sub I, Inc., Tailwind Merger Sub II, LLC, and Groop Internet</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gridSpan w:val="4"/>
            <w:vMerge w:val="restart"/>
          </w:tcPr>
          <w:p>
            <w:pPr>
              <w:ind w:left="20"/>
              <w:spacing w:after="0"/>
              <w:rPr>
                <w:rFonts w:ascii="Arial" w:cs="Arial" w:eastAsia="Arial" w:hAnsi="Arial"/>
                <w:sz w:val="14"/>
                <w:szCs w:val="14"/>
                <w:color w:val="0000FF"/>
              </w:rPr>
            </w:pPr>
            <w:hyperlink r:id="rId417">
              <w:r>
                <w:rPr>
                  <w:rFonts w:ascii="Arial" w:cs="Arial" w:eastAsia="Arial" w:hAnsi="Arial"/>
                  <w:sz w:val="14"/>
                  <w:szCs w:val="14"/>
                  <w:color w:val="0000FF"/>
                </w:rPr>
                <w:t>3.</w:t>
              </w:r>
              <w:r>
                <w:rPr>
                  <w:rFonts w:ascii="Arial" w:cs="Arial" w:eastAsia="Arial" w:hAnsi="Arial"/>
                  <w:sz w:val="14"/>
                  <w:szCs w:val="14"/>
                  <w:u w:val="single" w:color="auto"/>
                  <w:color w:val="0000FF"/>
                </w:rPr>
                <w:t>1</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40" w:type="dxa"/>
            <w:vAlign w:val="bottom"/>
            <w:gridSpan w:val="33"/>
          </w:tcPr>
          <w:p>
            <w:pPr>
              <w:spacing w:after="0" w:line="129" w:lineRule="exact"/>
              <w:rPr>
                <w:rFonts w:ascii="Arial" w:cs="Arial" w:eastAsia="Arial" w:hAnsi="Arial"/>
                <w:sz w:val="14"/>
                <w:szCs w:val="14"/>
                <w:color w:val="0000FF"/>
              </w:rPr>
            </w:pPr>
            <w:hyperlink r:id="rId416">
              <w:r>
                <w:rPr>
                  <w:rFonts w:ascii="Arial" w:cs="Arial" w:eastAsia="Arial" w:hAnsi="Arial"/>
                  <w:sz w:val="14"/>
                  <w:szCs w:val="14"/>
                  <w:color w:val="0000FF"/>
                </w:rPr>
                <w:t>Platform, Inc. (d/b/a Talkspace).</w:t>
              </w:r>
            </w:hyperlink>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8-K/A</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2"/>
              </w:rPr>
              <w:t>3.1</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6/23/21</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Borders>
              <w:top w:val="single" w:sz="8" w:color="0000FF"/>
            </w:tcBorders>
            <w:gridSpan w:val="12"/>
          </w:tcPr>
          <w:p>
            <w:pPr>
              <w:spacing w:after="0" w:line="142" w:lineRule="exact"/>
              <w:rPr>
                <w:rFonts w:ascii="Arial" w:cs="Arial" w:eastAsia="Arial" w:hAnsi="Arial"/>
                <w:sz w:val="14"/>
                <w:szCs w:val="14"/>
                <w:color w:val="0000FF"/>
                <w:w w:val="91"/>
              </w:rPr>
            </w:pPr>
            <w:hyperlink r:id="rId417">
              <w:r>
                <w:rPr>
                  <w:rFonts w:ascii="Arial" w:cs="Arial" w:eastAsia="Arial" w:hAnsi="Arial"/>
                  <w:sz w:val="14"/>
                  <w:szCs w:val="14"/>
                  <w:color w:val="0000FF"/>
                  <w:w w:val="91"/>
                </w:rPr>
                <w:t>Second Amended and Restated</w:t>
              </w:r>
            </w:hyperlink>
          </w:p>
        </w:tc>
        <w:tc>
          <w:tcPr>
            <w:tcW w:w="4300" w:type="dxa"/>
            <w:vAlign w:val="bottom"/>
            <w:gridSpan w:val="29"/>
          </w:tcPr>
          <w:p>
            <w:pPr>
              <w:spacing w:after="0" w:line="142" w:lineRule="exact"/>
              <w:rPr>
                <w:rFonts w:ascii="Arial" w:cs="Arial" w:eastAsia="Arial" w:hAnsi="Arial"/>
                <w:sz w:val="14"/>
                <w:szCs w:val="14"/>
                <w:color w:val="0000FF"/>
              </w:rPr>
            </w:pPr>
            <w:hyperlink r:id="rId417">
              <w:r>
                <w:rPr>
                  <w:rFonts w:ascii="Arial" w:cs="Arial" w:eastAsia="Arial" w:hAnsi="Arial"/>
                  <w:sz w:val="14"/>
                  <w:szCs w:val="14"/>
                  <w:color w:val="0000FF"/>
                </w:rPr>
                <w:t>Certificate of Incorporation of Talkspace, Inc.</w:t>
              </w:r>
            </w:hyperlink>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160" w:type="dxa"/>
            <w:vAlign w:val="bottom"/>
            <w:tcBorders>
              <w:top w:val="single" w:sz="8" w:color="0000FF"/>
              <w:bottom w:val="single" w:sz="8" w:color="0000FF"/>
            </w:tcBorders>
          </w:tcPr>
          <w:p>
            <w:pPr>
              <w:spacing w:after="0"/>
              <w:rPr>
                <w:rFonts w:ascii="Arial" w:cs="Arial" w:eastAsia="Arial" w:hAnsi="Arial"/>
                <w:sz w:val="12"/>
                <w:szCs w:val="12"/>
                <w:color w:val="0000FF"/>
                <w:w w:val="71"/>
              </w:rPr>
            </w:pPr>
            <w:hyperlink r:id="rId418">
              <w:r>
                <w:rPr>
                  <w:rFonts w:ascii="Arial" w:cs="Arial" w:eastAsia="Arial" w:hAnsi="Arial"/>
                  <w:sz w:val="12"/>
                  <w:szCs w:val="12"/>
                  <w:color w:val="0000FF"/>
                  <w:w w:val="71"/>
                </w:rPr>
                <w:t>3.</w:t>
              </w:r>
              <w:r>
                <w:rPr>
                  <w:rFonts w:ascii="Arial" w:cs="Arial" w:eastAsia="Arial" w:hAnsi="Arial"/>
                  <w:sz w:val="12"/>
                  <w:szCs w:val="12"/>
                  <w:u w:val="single" w:color="auto"/>
                  <w:color w:val="0000FF"/>
                  <w:w w:val="71"/>
                </w:rPr>
                <w:t>2</w:t>
              </w:r>
            </w:hyperlink>
          </w:p>
        </w:tc>
        <w:tc>
          <w:tcPr>
            <w:tcW w:w="8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0000FF"/>
              <w:bottom w:val="single" w:sz="8" w:color="0000FF"/>
            </w:tcBorders>
            <w:gridSpan w:val="8"/>
          </w:tcPr>
          <w:p>
            <w:pPr>
              <w:spacing w:after="0" w:line="142" w:lineRule="exact"/>
              <w:rPr>
                <w:rFonts w:ascii="Arial" w:cs="Arial" w:eastAsia="Arial" w:hAnsi="Arial"/>
                <w:sz w:val="14"/>
                <w:szCs w:val="14"/>
                <w:color w:val="0000FF"/>
                <w:w w:val="92"/>
              </w:rPr>
            </w:pPr>
            <w:hyperlink r:id="rId418">
              <w:r>
                <w:rPr>
                  <w:rFonts w:ascii="Arial" w:cs="Arial" w:eastAsia="Arial" w:hAnsi="Arial"/>
                  <w:sz w:val="14"/>
                  <w:szCs w:val="14"/>
                  <w:color w:val="0000FF"/>
                  <w:w w:val="92"/>
                </w:rPr>
                <w:t>Bylaws of Talkspace, Inc.</w:t>
              </w:r>
            </w:hyperlink>
          </w:p>
        </w:tc>
        <w:tc>
          <w:tcPr>
            <w:tcW w:w="298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color w:val="auto"/>
              </w:rPr>
              <w:t>8-K/A</w:t>
            </w:r>
          </w:p>
        </w:tc>
        <w:tc>
          <w:tcPr>
            <w:tcW w:w="1040" w:type="dxa"/>
            <w:vAlign w:val="bottom"/>
          </w:tcPr>
          <w:p>
            <w:pPr>
              <w:jc w:val="center"/>
              <w:spacing w:after="0" w:line="142" w:lineRule="exact"/>
              <w:rPr>
                <w:sz w:val="20"/>
                <w:szCs w:val="20"/>
                <w:color w:val="auto"/>
              </w:rPr>
            </w:pPr>
            <w:r>
              <w:rPr>
                <w:rFonts w:ascii="Arial" w:cs="Arial" w:eastAsia="Arial" w:hAnsi="Arial"/>
                <w:sz w:val="14"/>
                <w:szCs w:val="14"/>
                <w:color w:val="auto"/>
                <w:w w:val="92"/>
              </w:rPr>
              <w:t>001-39314</w:t>
            </w:r>
          </w:p>
        </w:tc>
        <w:tc>
          <w:tcPr>
            <w:tcW w:w="760" w:type="dxa"/>
            <w:vAlign w:val="bottom"/>
          </w:tcPr>
          <w:p>
            <w:pPr>
              <w:jc w:val="center"/>
              <w:spacing w:after="0" w:line="142" w:lineRule="exact"/>
              <w:rPr>
                <w:sz w:val="20"/>
                <w:szCs w:val="20"/>
                <w:color w:val="auto"/>
              </w:rPr>
            </w:pPr>
            <w:r>
              <w:rPr>
                <w:rFonts w:ascii="Arial" w:cs="Arial" w:eastAsia="Arial" w:hAnsi="Arial"/>
                <w:sz w:val="14"/>
                <w:szCs w:val="14"/>
                <w:color w:val="auto"/>
                <w:w w:val="92"/>
              </w:rPr>
              <w:t>3.2</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w w:val="94"/>
              </w:rPr>
              <w:t>6/23/21</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gridSpan w:val="3"/>
          </w:tcPr>
          <w:p>
            <w:pPr>
              <w:spacing w:after="0" w:line="142" w:lineRule="exact"/>
              <w:rPr>
                <w:rFonts w:ascii="Arial" w:cs="Arial" w:eastAsia="Arial" w:hAnsi="Arial"/>
                <w:sz w:val="14"/>
                <w:szCs w:val="14"/>
                <w:color w:val="0000FF"/>
              </w:rPr>
            </w:pPr>
            <w:hyperlink r:id="rId419">
              <w:r>
                <w:rPr>
                  <w:rFonts w:ascii="Arial" w:cs="Arial" w:eastAsia="Arial" w:hAnsi="Arial"/>
                  <w:sz w:val="14"/>
                  <w:szCs w:val="14"/>
                  <w:color w:val="0000FF"/>
                </w:rPr>
                <w:t>4.</w:t>
              </w:r>
              <w:r>
                <w:rPr>
                  <w:rFonts w:ascii="Arial" w:cs="Arial" w:eastAsia="Arial" w:hAnsi="Arial"/>
                  <w:sz w:val="14"/>
                  <w:szCs w:val="14"/>
                  <w:u w:val="single" w:color="auto"/>
                  <w:color w:val="0000FF"/>
                </w:rPr>
                <w:t>1</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8"/>
          </w:tcPr>
          <w:p>
            <w:pPr>
              <w:spacing w:after="0" w:line="142" w:lineRule="exact"/>
              <w:rPr>
                <w:rFonts w:ascii="Arial" w:cs="Arial" w:eastAsia="Arial" w:hAnsi="Arial"/>
                <w:sz w:val="14"/>
                <w:szCs w:val="14"/>
                <w:color w:val="0000FF"/>
                <w:w w:val="88"/>
              </w:rPr>
            </w:pPr>
            <w:hyperlink r:id="rId419">
              <w:r>
                <w:rPr>
                  <w:rFonts w:ascii="Arial" w:cs="Arial" w:eastAsia="Arial" w:hAnsi="Arial"/>
                  <w:sz w:val="14"/>
                  <w:szCs w:val="14"/>
                  <w:color w:val="0000FF"/>
                  <w:w w:val="88"/>
                </w:rPr>
                <w:t>Warrant Agreement, dated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gridSpan w:val="31"/>
          </w:tcPr>
          <w:p>
            <w:pPr>
              <w:spacing w:after="0" w:line="142" w:lineRule="exact"/>
              <w:rPr>
                <w:rFonts w:ascii="Arial" w:cs="Arial" w:eastAsia="Arial" w:hAnsi="Arial"/>
                <w:sz w:val="14"/>
                <w:szCs w:val="14"/>
                <w:color w:val="0000FF"/>
              </w:rPr>
            </w:pPr>
            <w:hyperlink r:id="rId419">
              <w:r>
                <w:rPr>
                  <w:rFonts w:ascii="Arial" w:cs="Arial" w:eastAsia="Arial" w:hAnsi="Arial"/>
                  <w:sz w:val="14"/>
                  <w:szCs w:val="14"/>
                  <w:color w:val="0000FF"/>
                </w:rPr>
                <w:t>as of June 8, 2020, by and between Continental Stock Transfer &amp; Trust</w:t>
              </w:r>
            </w:hyperlink>
          </w:p>
        </w:tc>
        <w:tc>
          <w:tcPr>
            <w:tcW w:w="620" w:type="dxa"/>
            <w:vAlign w:val="bottom"/>
          </w:tcPr>
          <w:p>
            <w:pPr>
              <w:jc w:val="center"/>
              <w:spacing w:after="0" w:line="142" w:lineRule="exact"/>
              <w:rPr>
                <w:sz w:val="20"/>
                <w:szCs w:val="20"/>
                <w:color w:val="auto"/>
              </w:rPr>
            </w:pPr>
            <w:r>
              <w:rPr>
                <w:rFonts w:ascii="Arial" w:cs="Arial" w:eastAsia="Arial" w:hAnsi="Arial"/>
                <w:sz w:val="14"/>
                <w:szCs w:val="14"/>
                <w:color w:val="auto"/>
              </w:rPr>
              <w:t>8-K</w:t>
            </w:r>
          </w:p>
        </w:tc>
        <w:tc>
          <w:tcPr>
            <w:tcW w:w="1040" w:type="dxa"/>
            <w:vAlign w:val="bottom"/>
          </w:tcPr>
          <w:p>
            <w:pPr>
              <w:ind w:left="160"/>
              <w:spacing w:after="0" w:line="142" w:lineRule="exact"/>
              <w:rPr>
                <w:sz w:val="20"/>
                <w:szCs w:val="20"/>
                <w:color w:val="auto"/>
              </w:rPr>
            </w:pPr>
            <w:r>
              <w:rPr>
                <w:rFonts w:ascii="Arial" w:cs="Arial" w:eastAsia="Arial" w:hAnsi="Arial"/>
                <w:sz w:val="14"/>
                <w:szCs w:val="14"/>
                <w:color w:val="auto"/>
              </w:rPr>
              <w:t>001-39314</w:t>
            </w:r>
          </w:p>
        </w:tc>
        <w:tc>
          <w:tcPr>
            <w:tcW w:w="760" w:type="dxa"/>
            <w:vAlign w:val="bottom"/>
          </w:tcPr>
          <w:p>
            <w:pPr>
              <w:jc w:val="center"/>
              <w:spacing w:after="0" w:line="142" w:lineRule="exact"/>
              <w:rPr>
                <w:sz w:val="20"/>
                <w:szCs w:val="20"/>
                <w:color w:val="auto"/>
              </w:rPr>
            </w:pPr>
            <w:r>
              <w:rPr>
                <w:rFonts w:ascii="Arial" w:cs="Arial" w:eastAsia="Arial" w:hAnsi="Arial"/>
                <w:sz w:val="14"/>
                <w:szCs w:val="14"/>
                <w:color w:val="auto"/>
                <w:w w:val="92"/>
              </w:rPr>
              <w:t>4.1</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w w:val="94"/>
              </w:rPr>
              <w:t>6/11/20</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80" w:type="dxa"/>
            <w:vAlign w:val="bottom"/>
            <w:gridSpan w:val="4"/>
            <w:vMerge w:val="restart"/>
          </w:tcPr>
          <w:p>
            <w:pPr>
              <w:ind w:left="20"/>
              <w:spacing w:after="0"/>
              <w:rPr>
                <w:rFonts w:ascii="Arial" w:cs="Arial" w:eastAsia="Arial" w:hAnsi="Arial"/>
                <w:sz w:val="14"/>
                <w:szCs w:val="14"/>
                <w:color w:val="0000FF"/>
              </w:rPr>
            </w:pPr>
            <w:hyperlink r:id="rId420">
              <w:r>
                <w:rPr>
                  <w:rFonts w:ascii="Arial" w:cs="Arial" w:eastAsia="Arial" w:hAnsi="Arial"/>
                  <w:sz w:val="14"/>
                  <w:szCs w:val="14"/>
                  <w:color w:val="0000FF"/>
                </w:rPr>
                <w:t>4.</w:t>
              </w:r>
              <w:r>
                <w:rPr>
                  <w:rFonts w:ascii="Arial" w:cs="Arial" w:eastAsia="Arial" w:hAnsi="Arial"/>
                  <w:sz w:val="14"/>
                  <w:szCs w:val="14"/>
                  <w:u w:val="single" w:color="auto"/>
                  <w:color w:val="0000FF"/>
                </w:rPr>
                <w:t>2</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00" w:type="dxa"/>
            <w:vAlign w:val="bottom"/>
            <w:gridSpan w:val="34"/>
          </w:tcPr>
          <w:p>
            <w:pPr>
              <w:spacing w:after="0" w:line="129" w:lineRule="exact"/>
              <w:rPr>
                <w:rFonts w:ascii="Arial" w:cs="Arial" w:eastAsia="Arial" w:hAnsi="Arial"/>
                <w:sz w:val="14"/>
                <w:szCs w:val="14"/>
                <w:color w:val="0000FF"/>
              </w:rPr>
            </w:pPr>
            <w:hyperlink r:id="rId419">
              <w:r>
                <w:rPr>
                  <w:rFonts w:ascii="Arial" w:cs="Arial" w:eastAsia="Arial" w:hAnsi="Arial"/>
                  <w:sz w:val="14"/>
                  <w:szCs w:val="14"/>
                  <w:color w:val="0000FF"/>
                </w:rPr>
                <w:t>Company and Hudson Executive Investment Corp.</w:t>
              </w:r>
            </w:hyperlink>
          </w:p>
        </w:tc>
        <w:tc>
          <w:tcPr>
            <w:tcW w:w="1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040" w:type="dxa"/>
            <w:vAlign w:val="bottom"/>
            <w:vMerge w:val="restart"/>
          </w:tcPr>
          <w:p>
            <w:pPr>
              <w:ind w:left="160"/>
              <w:spacing w:after="0"/>
              <w:rPr>
                <w:sz w:val="20"/>
                <w:szCs w:val="20"/>
                <w:color w:val="auto"/>
              </w:rPr>
            </w:pPr>
            <w:r>
              <w:rPr>
                <w:rFonts w:ascii="Arial" w:cs="Arial" w:eastAsia="Arial" w:hAnsi="Arial"/>
                <w:sz w:val="14"/>
                <w:szCs w:val="14"/>
                <w:color w:val="auto"/>
              </w:rPr>
              <w:t>333-238583</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2"/>
              </w:rPr>
              <w:t>4.3</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6/5/20</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tcBorders>
              <w:top w:val="single" w:sz="8" w:color="0000EE"/>
            </w:tcBorders>
            <w:gridSpan w:val="19"/>
          </w:tcPr>
          <w:p>
            <w:pPr>
              <w:spacing w:after="0" w:line="142" w:lineRule="exact"/>
              <w:rPr>
                <w:rFonts w:ascii="Arial" w:cs="Arial" w:eastAsia="Arial" w:hAnsi="Arial"/>
                <w:sz w:val="14"/>
                <w:szCs w:val="14"/>
                <w:color w:val="0000FF"/>
              </w:rPr>
            </w:pPr>
            <w:hyperlink r:id="rId420">
              <w:r>
                <w:rPr>
                  <w:rFonts w:ascii="Arial" w:cs="Arial" w:eastAsia="Arial" w:hAnsi="Arial"/>
                  <w:sz w:val="14"/>
                  <w:szCs w:val="14"/>
                  <w:color w:val="0000FF"/>
                </w:rPr>
                <w:t>Specimen Warrant Certificate of the Registrant.</w:t>
              </w:r>
            </w:hyperlink>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160" w:type="dxa"/>
            <w:vAlign w:val="bottom"/>
            <w:tcBorders>
              <w:top w:val="single" w:sz="8" w:color="0000FF"/>
              <w:bottom w:val="single" w:sz="8" w:color="0000FF"/>
            </w:tcBorders>
          </w:tcPr>
          <w:p>
            <w:pPr>
              <w:spacing w:after="0"/>
              <w:rPr>
                <w:rFonts w:ascii="Arial" w:cs="Arial" w:eastAsia="Arial" w:hAnsi="Arial"/>
                <w:sz w:val="12"/>
                <w:szCs w:val="12"/>
                <w:color w:val="0000FF"/>
                <w:w w:val="71"/>
              </w:rPr>
            </w:pPr>
            <w:hyperlink r:id="rId421">
              <w:r>
                <w:rPr>
                  <w:rFonts w:ascii="Arial" w:cs="Arial" w:eastAsia="Arial" w:hAnsi="Arial"/>
                  <w:sz w:val="12"/>
                  <w:szCs w:val="12"/>
                  <w:color w:val="0000FF"/>
                  <w:w w:val="71"/>
                </w:rPr>
                <w:t>4.</w:t>
              </w:r>
              <w:r>
                <w:rPr>
                  <w:rFonts w:ascii="Arial" w:cs="Arial" w:eastAsia="Arial" w:hAnsi="Arial"/>
                  <w:sz w:val="12"/>
                  <w:szCs w:val="12"/>
                  <w:u w:val="single" w:color="auto"/>
                  <w:color w:val="0000FF"/>
                  <w:w w:val="71"/>
                </w:rPr>
                <w:t>3</w:t>
              </w:r>
            </w:hyperlink>
          </w:p>
        </w:tc>
        <w:tc>
          <w:tcPr>
            <w:tcW w:w="8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Borders>
              <w:top w:val="single" w:sz="8" w:color="0000FF"/>
              <w:bottom w:val="single" w:sz="8" w:color="0000FF"/>
            </w:tcBorders>
            <w:gridSpan w:val="16"/>
          </w:tcPr>
          <w:p>
            <w:pPr>
              <w:spacing w:after="0" w:line="142" w:lineRule="exact"/>
              <w:rPr>
                <w:rFonts w:ascii="Arial" w:cs="Arial" w:eastAsia="Arial" w:hAnsi="Arial"/>
                <w:sz w:val="14"/>
                <w:szCs w:val="14"/>
                <w:color w:val="0000FF"/>
                <w:w w:val="92"/>
              </w:rPr>
            </w:pPr>
            <w:hyperlink r:id="rId421">
              <w:r>
                <w:rPr>
                  <w:rFonts w:ascii="Arial" w:cs="Arial" w:eastAsia="Arial" w:hAnsi="Arial"/>
                  <w:sz w:val="14"/>
                  <w:szCs w:val="14"/>
                  <w:color w:val="0000FF"/>
                  <w:w w:val="92"/>
                </w:rPr>
                <w:t>Specimen Common Stock Certificate.</w:t>
              </w:r>
            </w:hyperlink>
          </w:p>
        </w:tc>
        <w:tc>
          <w:tcPr>
            <w:tcW w:w="54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color w:val="auto"/>
              </w:rPr>
              <w:t>S-4/A</w:t>
            </w:r>
          </w:p>
        </w:tc>
        <w:tc>
          <w:tcPr>
            <w:tcW w:w="1040" w:type="dxa"/>
            <w:vAlign w:val="bottom"/>
          </w:tcPr>
          <w:p>
            <w:pPr>
              <w:jc w:val="center"/>
              <w:spacing w:after="0" w:line="142" w:lineRule="exact"/>
              <w:rPr>
                <w:sz w:val="20"/>
                <w:szCs w:val="20"/>
                <w:color w:val="auto"/>
              </w:rPr>
            </w:pPr>
            <w:r>
              <w:rPr>
                <w:rFonts w:ascii="Arial" w:cs="Arial" w:eastAsia="Arial" w:hAnsi="Arial"/>
                <w:sz w:val="14"/>
                <w:szCs w:val="14"/>
                <w:color w:val="auto"/>
                <w:w w:val="93"/>
              </w:rPr>
              <w:t>333-252638</w:t>
            </w:r>
          </w:p>
        </w:tc>
        <w:tc>
          <w:tcPr>
            <w:tcW w:w="760" w:type="dxa"/>
            <w:vAlign w:val="bottom"/>
          </w:tcPr>
          <w:p>
            <w:pPr>
              <w:jc w:val="center"/>
              <w:spacing w:after="0" w:line="142" w:lineRule="exact"/>
              <w:rPr>
                <w:sz w:val="20"/>
                <w:szCs w:val="20"/>
                <w:color w:val="auto"/>
              </w:rPr>
            </w:pPr>
            <w:r>
              <w:rPr>
                <w:rFonts w:ascii="Arial" w:cs="Arial" w:eastAsia="Arial" w:hAnsi="Arial"/>
                <w:sz w:val="14"/>
                <w:szCs w:val="14"/>
                <w:color w:val="auto"/>
                <w:w w:val="92"/>
              </w:rPr>
              <w:t>4.5</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w w:val="94"/>
              </w:rPr>
              <w:t>5/20/21</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gridSpan w:val="3"/>
          </w:tcPr>
          <w:p>
            <w:pPr>
              <w:spacing w:after="0" w:line="129" w:lineRule="exact"/>
              <w:rPr>
                <w:rFonts w:ascii="Arial" w:cs="Arial" w:eastAsia="Arial" w:hAnsi="Arial"/>
                <w:sz w:val="14"/>
                <w:szCs w:val="14"/>
                <w:color w:val="0000FF"/>
              </w:rPr>
            </w:pPr>
            <w:hyperlink w:anchor="page131">
              <w:r>
                <w:rPr>
                  <w:rFonts w:ascii="Arial" w:cs="Arial" w:eastAsia="Arial" w:hAnsi="Arial"/>
                  <w:sz w:val="14"/>
                  <w:szCs w:val="14"/>
                  <w:color w:val="0000FF"/>
                </w:rPr>
                <w:t>4.</w:t>
              </w:r>
              <w:r>
                <w:rPr>
                  <w:rFonts w:ascii="Arial" w:cs="Arial" w:eastAsia="Arial" w:hAnsi="Arial"/>
                  <w:sz w:val="14"/>
                  <w:szCs w:val="14"/>
                  <w:u w:val="single" w:color="auto"/>
                  <w:color w:val="0000FF"/>
                </w:rPr>
                <w:t>4</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16"/>
          </w:tcPr>
          <w:p>
            <w:pPr>
              <w:spacing w:after="0" w:line="129" w:lineRule="exact"/>
              <w:rPr>
                <w:rFonts w:ascii="Arial" w:cs="Arial" w:eastAsia="Arial" w:hAnsi="Arial"/>
                <w:sz w:val="14"/>
                <w:szCs w:val="14"/>
                <w:color w:val="0000FF"/>
              </w:rPr>
            </w:pPr>
            <w:hyperlink w:anchor="page131">
              <w:r>
                <w:rPr>
                  <w:rFonts w:ascii="Arial" w:cs="Arial" w:eastAsia="Arial" w:hAnsi="Arial"/>
                  <w:sz w:val="14"/>
                  <w:szCs w:val="14"/>
                  <w:color w:val="0000FF"/>
                </w:rPr>
                <w:t>Description of Common Stock.</w:t>
              </w:r>
            </w:hyperlink>
          </w:p>
        </w:tc>
        <w:tc>
          <w:tcPr>
            <w:tcW w:w="640" w:type="dxa"/>
            <w:vAlign w:val="bottom"/>
            <w:gridSpan w:val="2"/>
          </w:tcPr>
          <w:p>
            <w:pPr>
              <w:spacing w:after="0"/>
              <w:rPr>
                <w:sz w:val="12"/>
                <w:szCs w:val="12"/>
                <w:color w:val="auto"/>
              </w:rPr>
            </w:pPr>
          </w:p>
        </w:tc>
        <w:tc>
          <w:tcPr>
            <w:tcW w:w="8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8"/>
          </w:tcPr>
          <w:p>
            <w:pPr>
              <w:spacing w:after="0" w:line="155" w:lineRule="exact"/>
              <w:rPr>
                <w:rFonts w:ascii="Arial" w:cs="Arial" w:eastAsia="Arial" w:hAnsi="Arial"/>
                <w:sz w:val="14"/>
                <w:szCs w:val="14"/>
                <w:color w:val="0000FF"/>
              </w:rPr>
            </w:pPr>
            <w:hyperlink r:id="rId422">
              <w:r>
                <w:rPr>
                  <w:rFonts w:ascii="Arial" w:cs="Arial" w:eastAsia="Arial" w:hAnsi="Arial"/>
                  <w:sz w:val="14"/>
                  <w:szCs w:val="14"/>
                  <w:color w:val="0000FF"/>
                </w:rPr>
                <w:t>10.</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55" w:lineRule="exact"/>
              <w:rPr>
                <w:rFonts w:ascii="Arial" w:cs="Arial" w:eastAsia="Arial" w:hAnsi="Arial"/>
                <w:sz w:val="14"/>
                <w:szCs w:val="14"/>
                <w:color w:val="0000FF"/>
              </w:rPr>
            </w:pPr>
            <w:hyperlink r:id="rId422">
              <w:r>
                <w:rPr>
                  <w:rFonts w:ascii="Arial" w:cs="Arial" w:eastAsia="Arial" w:hAnsi="Arial"/>
                  <w:sz w:val="14"/>
                  <w:szCs w:val="14"/>
                  <w:color w:val="0000FF"/>
                </w:rPr>
                <w:t>2021 Incentive Award Plan.</w:t>
              </w:r>
            </w:hyperlink>
          </w:p>
        </w:tc>
        <w:tc>
          <w:tcPr>
            <w:tcW w:w="620" w:type="dxa"/>
            <w:vAlign w:val="bottom"/>
          </w:tcPr>
          <w:p>
            <w:pPr>
              <w:jc w:val="center"/>
              <w:spacing w:after="0" w:line="155" w:lineRule="exact"/>
              <w:rPr>
                <w:sz w:val="20"/>
                <w:szCs w:val="20"/>
                <w:color w:val="auto"/>
              </w:rPr>
            </w:pPr>
            <w:r>
              <w:rPr>
                <w:rFonts w:ascii="Arial" w:cs="Arial" w:eastAsia="Arial" w:hAnsi="Arial"/>
                <w:sz w:val="14"/>
                <w:szCs w:val="14"/>
                <w:color w:val="auto"/>
                <w:w w:val="91"/>
              </w:rPr>
              <w:t>S-8</w:t>
            </w:r>
          </w:p>
        </w:tc>
        <w:tc>
          <w:tcPr>
            <w:tcW w:w="1040" w:type="dxa"/>
            <w:vAlign w:val="bottom"/>
          </w:tcPr>
          <w:p>
            <w:pPr>
              <w:jc w:val="center"/>
              <w:ind w:left="28"/>
              <w:spacing w:after="0" w:line="155" w:lineRule="exact"/>
              <w:rPr>
                <w:sz w:val="20"/>
                <w:szCs w:val="20"/>
                <w:color w:val="auto"/>
              </w:rPr>
            </w:pPr>
            <w:r>
              <w:rPr>
                <w:rFonts w:ascii="Arial" w:cs="Arial" w:eastAsia="Arial" w:hAnsi="Arial"/>
                <w:sz w:val="14"/>
                <w:szCs w:val="14"/>
                <w:color w:val="auto"/>
                <w:w w:val="93"/>
              </w:rPr>
              <w:t>333-259165</w:t>
            </w:r>
          </w:p>
        </w:tc>
        <w:tc>
          <w:tcPr>
            <w:tcW w:w="760" w:type="dxa"/>
            <w:vAlign w:val="bottom"/>
          </w:tcPr>
          <w:p>
            <w:pPr>
              <w:jc w:val="center"/>
              <w:spacing w:after="0" w:line="155" w:lineRule="exact"/>
              <w:rPr>
                <w:sz w:val="20"/>
                <w:szCs w:val="20"/>
                <w:color w:val="auto"/>
              </w:rPr>
            </w:pPr>
            <w:r>
              <w:rPr>
                <w:rFonts w:ascii="Arial" w:cs="Arial" w:eastAsia="Arial" w:hAnsi="Arial"/>
                <w:sz w:val="14"/>
                <w:szCs w:val="14"/>
                <w:color w:val="auto"/>
                <w:w w:val="95"/>
              </w:rPr>
              <w:t>99.1</w:t>
            </w:r>
          </w:p>
        </w:tc>
        <w:tc>
          <w:tcPr>
            <w:tcW w:w="640" w:type="dxa"/>
            <w:vAlign w:val="bottom"/>
          </w:tcPr>
          <w:p>
            <w:pPr>
              <w:jc w:val="center"/>
              <w:spacing w:after="0" w:line="155" w:lineRule="exact"/>
              <w:rPr>
                <w:sz w:val="20"/>
                <w:szCs w:val="20"/>
                <w:color w:val="auto"/>
              </w:rPr>
            </w:pPr>
            <w:r>
              <w:rPr>
                <w:rFonts w:ascii="Arial" w:cs="Arial" w:eastAsia="Arial" w:hAnsi="Arial"/>
                <w:sz w:val="14"/>
                <w:szCs w:val="14"/>
                <w:color w:val="auto"/>
                <w:w w:val="94"/>
              </w:rPr>
              <w:t>8/30/21</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1"/>
              </w:rPr>
              <w:t>S-8</w:t>
            </w:r>
          </w:p>
        </w:tc>
        <w:tc>
          <w:tcPr>
            <w:tcW w:w="1040" w:type="dxa"/>
            <w:vAlign w:val="bottom"/>
            <w:vMerge w:val="restart"/>
          </w:tcPr>
          <w:p>
            <w:pPr>
              <w:jc w:val="center"/>
              <w:ind w:left="28"/>
              <w:spacing w:after="0"/>
              <w:rPr>
                <w:sz w:val="20"/>
                <w:szCs w:val="20"/>
                <w:color w:val="auto"/>
              </w:rPr>
            </w:pPr>
            <w:r>
              <w:rPr>
                <w:rFonts w:ascii="Arial" w:cs="Arial" w:eastAsia="Arial" w:hAnsi="Arial"/>
                <w:sz w:val="14"/>
                <w:szCs w:val="14"/>
                <w:color w:val="auto"/>
                <w:w w:val="93"/>
              </w:rPr>
              <w:t>333-259165</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99.2</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8/30/21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gridSpan w:val="4"/>
          </w:tcPr>
          <w:p>
            <w:pPr>
              <w:spacing w:after="0" w:line="142" w:lineRule="exact"/>
              <w:rPr>
                <w:rFonts w:ascii="Arial" w:cs="Arial" w:eastAsia="Arial" w:hAnsi="Arial"/>
                <w:sz w:val="14"/>
                <w:szCs w:val="14"/>
                <w:color w:val="0000FF"/>
                <w:w w:val="95"/>
              </w:rPr>
            </w:pPr>
            <w:hyperlink r:id="rId423">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2</w:t>
              </w:r>
            </w:hyperlink>
          </w:p>
        </w:tc>
        <w:tc>
          <w:tcPr>
            <w:tcW w:w="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40" w:type="dxa"/>
            <w:vAlign w:val="bottom"/>
            <w:gridSpan w:val="41"/>
          </w:tcPr>
          <w:p>
            <w:pPr>
              <w:spacing w:after="0" w:line="142" w:lineRule="exact"/>
              <w:rPr>
                <w:rFonts w:ascii="Arial" w:cs="Arial" w:eastAsia="Arial" w:hAnsi="Arial"/>
                <w:sz w:val="14"/>
                <w:szCs w:val="14"/>
                <w:color w:val="0000FF"/>
              </w:rPr>
            </w:pPr>
            <w:hyperlink r:id="rId423">
              <w:r>
                <w:rPr>
                  <w:rFonts w:ascii="Arial" w:cs="Arial" w:eastAsia="Arial" w:hAnsi="Arial"/>
                  <w:sz w:val="14"/>
                  <w:szCs w:val="14"/>
                  <w:color w:val="0000FF"/>
                </w:rPr>
                <w:t>2021 Employee Stock Purchase Plan.</w:t>
              </w:r>
            </w:hyperlink>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3"/>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1"/>
              </w:rPr>
              <w:t>S-8</w:t>
            </w:r>
          </w:p>
        </w:tc>
        <w:tc>
          <w:tcPr>
            <w:tcW w:w="1040" w:type="dxa"/>
            <w:vAlign w:val="bottom"/>
            <w:vMerge w:val="restart"/>
          </w:tcPr>
          <w:p>
            <w:pPr>
              <w:jc w:val="center"/>
              <w:ind w:left="28"/>
              <w:spacing w:after="0"/>
              <w:rPr>
                <w:sz w:val="20"/>
                <w:szCs w:val="20"/>
                <w:color w:val="auto"/>
              </w:rPr>
            </w:pPr>
            <w:r>
              <w:rPr>
                <w:rFonts w:ascii="Arial" w:cs="Arial" w:eastAsia="Arial" w:hAnsi="Arial"/>
                <w:sz w:val="14"/>
                <w:szCs w:val="14"/>
                <w:color w:val="auto"/>
                <w:w w:val="93"/>
              </w:rPr>
              <w:t>333-259165</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99.3</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8/30/21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gridSpan w:val="4"/>
          </w:tcPr>
          <w:p>
            <w:pPr>
              <w:spacing w:after="0" w:line="142" w:lineRule="exact"/>
              <w:rPr>
                <w:rFonts w:ascii="Arial" w:cs="Arial" w:eastAsia="Arial" w:hAnsi="Arial"/>
                <w:sz w:val="14"/>
                <w:szCs w:val="14"/>
                <w:color w:val="0000FF"/>
                <w:w w:val="95"/>
              </w:rPr>
            </w:pPr>
            <w:hyperlink r:id="rId424">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3</w:t>
              </w:r>
            </w:hyperlink>
          </w:p>
        </w:tc>
        <w:tc>
          <w:tcPr>
            <w:tcW w:w="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15"/>
          </w:tcPr>
          <w:p>
            <w:pPr>
              <w:spacing w:after="0" w:line="142" w:lineRule="exact"/>
              <w:rPr>
                <w:rFonts w:ascii="Arial" w:cs="Arial" w:eastAsia="Arial" w:hAnsi="Arial"/>
                <w:sz w:val="14"/>
                <w:szCs w:val="14"/>
                <w:color w:val="0000FF"/>
              </w:rPr>
            </w:pPr>
            <w:hyperlink r:id="rId424">
              <w:r>
                <w:rPr>
                  <w:rFonts w:ascii="Arial" w:cs="Arial" w:eastAsia="Arial" w:hAnsi="Arial"/>
                  <w:sz w:val="14"/>
                  <w:szCs w:val="14"/>
                  <w:color w:val="0000FF"/>
                </w:rPr>
                <w:t>2014 Stock Incentive Plan.</w:t>
              </w:r>
            </w:hyperlink>
          </w:p>
        </w:tc>
        <w:tc>
          <w:tcPr>
            <w:tcW w:w="66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 w:type="dxa"/>
            <w:vAlign w:val="bottom"/>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0" w:type="dxa"/>
            <w:vAlign w:val="bottom"/>
            <w:gridSpan w:val="31"/>
            <w:vMerge w:val="restart"/>
          </w:tcPr>
          <w:p>
            <w:pPr>
              <w:spacing w:after="0"/>
              <w:rPr>
                <w:rFonts w:ascii="Arial" w:cs="Arial" w:eastAsia="Arial" w:hAnsi="Arial"/>
                <w:sz w:val="14"/>
                <w:szCs w:val="14"/>
                <w:color w:val="0000FF"/>
              </w:rPr>
            </w:pPr>
            <w:hyperlink r:id="rId425">
              <w:r>
                <w:rPr>
                  <w:rFonts w:ascii="Arial" w:cs="Arial" w:eastAsia="Arial" w:hAnsi="Arial"/>
                  <w:sz w:val="14"/>
                  <w:szCs w:val="14"/>
                  <w:color w:val="0000FF"/>
                </w:rPr>
                <w:t>Agreement.</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10.1</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6/23/21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gridSpan w:val="4"/>
          </w:tcPr>
          <w:p>
            <w:pPr>
              <w:spacing w:after="0" w:line="142" w:lineRule="exact"/>
              <w:rPr>
                <w:rFonts w:ascii="Arial" w:cs="Arial" w:eastAsia="Arial" w:hAnsi="Arial"/>
                <w:sz w:val="14"/>
                <w:szCs w:val="14"/>
                <w:color w:val="0000FF"/>
                <w:w w:val="95"/>
              </w:rPr>
            </w:pPr>
            <w:hyperlink r:id="rId425">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4</w:t>
              </w:r>
            </w:hyperlink>
          </w:p>
        </w:tc>
        <w:tc>
          <w:tcPr>
            <w:tcW w:w="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10"/>
          </w:tcPr>
          <w:p>
            <w:pPr>
              <w:spacing w:after="0" w:line="142" w:lineRule="exact"/>
              <w:rPr>
                <w:rFonts w:ascii="Arial" w:cs="Arial" w:eastAsia="Arial" w:hAnsi="Arial"/>
                <w:sz w:val="14"/>
                <w:szCs w:val="14"/>
                <w:color w:val="0000FF"/>
              </w:rPr>
            </w:pPr>
            <w:hyperlink r:id="rId425">
              <w:r>
                <w:rPr>
                  <w:rFonts w:ascii="Arial" w:cs="Arial" w:eastAsia="Arial" w:hAnsi="Arial"/>
                  <w:sz w:val="14"/>
                  <w:szCs w:val="14"/>
                  <w:color w:val="0000FF"/>
                </w:rPr>
                <w:t>Form of Indemnification</w:t>
              </w:r>
            </w:hyperlink>
          </w:p>
        </w:tc>
        <w:tc>
          <w:tcPr>
            <w:tcW w:w="4600" w:type="dxa"/>
            <w:vAlign w:val="bottom"/>
            <w:gridSpan w:val="31"/>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020" w:type="dxa"/>
            <w:vAlign w:val="bottom"/>
            <w:gridSpan w:val="28"/>
            <w:vMerge w:val="restart"/>
          </w:tcPr>
          <w:p>
            <w:pPr>
              <w:spacing w:after="0"/>
              <w:rPr>
                <w:rFonts w:ascii="Arial" w:cs="Arial" w:eastAsia="Arial" w:hAnsi="Arial"/>
                <w:sz w:val="14"/>
                <w:szCs w:val="14"/>
                <w:color w:val="0000FF"/>
                <w:w w:val="98"/>
              </w:rPr>
            </w:pPr>
            <w:hyperlink r:id="rId426">
              <w:r>
                <w:rPr>
                  <w:rFonts w:ascii="Arial" w:cs="Arial" w:eastAsia="Arial" w:hAnsi="Arial"/>
                  <w:sz w:val="14"/>
                  <w:szCs w:val="14"/>
                  <w:color w:val="0000FF"/>
                  <w:w w:val="98"/>
                </w:rPr>
                <w:t>Rights Agreement, by and among Talkspace, Inc. and the holders</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10.2</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6/23/21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0" w:type="dxa"/>
            <w:vAlign w:val="bottom"/>
            <w:gridSpan w:val="4"/>
          </w:tcPr>
          <w:p>
            <w:pPr>
              <w:spacing w:after="0" w:line="142" w:lineRule="exact"/>
              <w:rPr>
                <w:rFonts w:ascii="Arial" w:cs="Arial" w:eastAsia="Arial" w:hAnsi="Arial"/>
                <w:sz w:val="14"/>
                <w:szCs w:val="14"/>
                <w:color w:val="0000FF"/>
                <w:w w:val="95"/>
              </w:rPr>
            </w:pPr>
            <w:hyperlink r:id="rId426">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5</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13"/>
          </w:tcPr>
          <w:p>
            <w:pPr>
              <w:spacing w:after="0" w:line="142" w:lineRule="exact"/>
              <w:rPr>
                <w:rFonts w:ascii="Arial" w:cs="Arial" w:eastAsia="Arial" w:hAnsi="Arial"/>
                <w:sz w:val="14"/>
                <w:szCs w:val="14"/>
                <w:color w:val="0000FF"/>
                <w:w w:val="93"/>
              </w:rPr>
            </w:pPr>
            <w:hyperlink r:id="rId426">
              <w:r>
                <w:rPr>
                  <w:rFonts w:ascii="Arial" w:cs="Arial" w:eastAsia="Arial" w:hAnsi="Arial"/>
                  <w:sz w:val="14"/>
                  <w:szCs w:val="14"/>
                  <w:color w:val="0000FF"/>
                  <w:w w:val="93"/>
                </w:rPr>
                <w:t>Amended and Restated Registration</w:t>
              </w:r>
            </w:hyperlink>
          </w:p>
        </w:tc>
        <w:tc>
          <w:tcPr>
            <w:tcW w:w="4020" w:type="dxa"/>
            <w:vAlign w:val="bottom"/>
            <w:gridSpan w:val="28"/>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8"/>
            <w:vMerge w:val="restart"/>
          </w:tcPr>
          <w:p>
            <w:pPr>
              <w:spacing w:after="0"/>
              <w:rPr>
                <w:rFonts w:ascii="Arial" w:cs="Arial" w:eastAsia="Arial" w:hAnsi="Arial"/>
                <w:sz w:val="14"/>
                <w:szCs w:val="14"/>
                <w:color w:val="0000FF"/>
              </w:rPr>
            </w:pPr>
            <w:hyperlink r:id="rId427">
              <w:r>
                <w:rPr>
                  <w:rFonts w:ascii="Arial" w:cs="Arial" w:eastAsia="Arial" w:hAnsi="Arial"/>
                  <w:sz w:val="14"/>
                  <w:szCs w:val="14"/>
                  <w:color w:val="0000FF"/>
                </w:rPr>
                <w:t>10.</w:t>
              </w:r>
              <w:r>
                <w:rPr>
                  <w:rFonts w:ascii="Arial" w:cs="Arial" w:eastAsia="Arial" w:hAnsi="Arial"/>
                  <w:sz w:val="14"/>
                  <w:szCs w:val="14"/>
                  <w:u w:val="single" w:color="auto"/>
                  <w:color w:val="0000FF"/>
                </w:rPr>
                <w:t>6</w:t>
              </w:r>
            </w:hyperlink>
            <w:r>
              <w:rPr>
                <w:rFonts w:ascii="Arial" w:cs="Arial" w:eastAsia="Arial" w:hAnsi="Arial"/>
                <w:sz w:val="14"/>
                <w:szCs w:val="14"/>
                <w:color w:val="000000"/>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bottom w:val="single" w:sz="8" w:color="0000FF"/>
            </w:tcBorders>
            <w:gridSpan w:val="4"/>
          </w:tcPr>
          <w:p>
            <w:pPr>
              <w:spacing w:after="0" w:line="129" w:lineRule="exact"/>
              <w:rPr>
                <w:rFonts w:ascii="Arial" w:cs="Arial" w:eastAsia="Arial" w:hAnsi="Arial"/>
                <w:sz w:val="14"/>
                <w:szCs w:val="14"/>
                <w:color w:val="0000FF"/>
                <w:w w:val="89"/>
              </w:rPr>
            </w:pPr>
            <w:hyperlink r:id="rId426">
              <w:r>
                <w:rPr>
                  <w:rFonts w:ascii="Arial" w:cs="Arial" w:eastAsia="Arial" w:hAnsi="Arial"/>
                  <w:sz w:val="14"/>
                  <w:szCs w:val="14"/>
                  <w:color w:val="0000FF"/>
                  <w:w w:val="89"/>
                </w:rPr>
                <w:t>party thereto.</w:t>
              </w:r>
            </w:hyperlink>
          </w:p>
        </w:tc>
        <w:tc>
          <w:tcPr>
            <w:tcW w:w="20" w:type="dxa"/>
            <w:vAlign w:val="bottom"/>
            <w:tcBorders>
              <w:bottom w:val="single" w:sz="8" w:color="0000EE"/>
            </w:tcBorders>
          </w:tcPr>
          <w:p>
            <w:pPr>
              <w:spacing w:after="0"/>
              <w:rPr>
                <w:sz w:val="11"/>
                <w:szCs w:val="11"/>
                <w:color w:val="auto"/>
              </w:rPr>
            </w:pPr>
          </w:p>
        </w:tc>
        <w:tc>
          <w:tcPr>
            <w:tcW w:w="5100" w:type="dxa"/>
            <w:vAlign w:val="bottom"/>
            <w:gridSpan w:val="32"/>
          </w:tcPr>
          <w:p>
            <w:pPr>
              <w:spacing w:after="0"/>
              <w:rPr>
                <w:sz w:val="11"/>
                <w:szCs w:val="11"/>
                <w:color w:val="auto"/>
              </w:rPr>
            </w:pPr>
          </w:p>
        </w:tc>
        <w:tc>
          <w:tcPr>
            <w:tcW w:w="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10.3</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6/23/21</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Arial" w:cs="Arial" w:eastAsia="Arial" w:hAnsi="Arial"/>
                <w:sz w:val="14"/>
                <w:szCs w:val="14"/>
                <w:color w:val="0000FF"/>
                <w:w w:val="82"/>
              </w:rPr>
            </w:pPr>
            <w:hyperlink r:id="rId427">
              <w:r>
                <w:rPr>
                  <w:rFonts w:ascii="Arial" w:cs="Arial" w:eastAsia="Arial" w:hAnsi="Arial"/>
                  <w:sz w:val="14"/>
                  <w:szCs w:val="14"/>
                  <w:color w:val="0000FF"/>
                  <w:w w:val="82"/>
                </w:rPr>
                <w:t>Non-Employee</w:t>
              </w:r>
            </w:hyperlink>
          </w:p>
        </w:tc>
        <w:tc>
          <w:tcPr>
            <w:tcW w:w="5360" w:type="dxa"/>
            <w:vAlign w:val="bottom"/>
            <w:gridSpan w:val="36"/>
          </w:tcPr>
          <w:p>
            <w:pPr>
              <w:ind w:left="120"/>
              <w:spacing w:after="0" w:line="142" w:lineRule="exact"/>
              <w:rPr>
                <w:rFonts w:ascii="Arial" w:cs="Arial" w:eastAsia="Arial" w:hAnsi="Arial"/>
                <w:sz w:val="14"/>
                <w:szCs w:val="14"/>
                <w:color w:val="0000FF"/>
              </w:rPr>
            </w:pPr>
            <w:hyperlink r:id="rId427">
              <w:r>
                <w:rPr>
                  <w:rFonts w:ascii="Arial" w:cs="Arial" w:eastAsia="Arial" w:hAnsi="Arial"/>
                  <w:sz w:val="14"/>
                  <w:szCs w:val="14"/>
                  <w:color w:val="0000FF"/>
                </w:rPr>
                <w:t>Director Compensation Program.</w:t>
              </w:r>
            </w:hyperlink>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5"/>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4"/>
              </w:rPr>
              <w:t>10.7(a)</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6/23/21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240" w:type="dxa"/>
            <w:vAlign w:val="bottom"/>
            <w:gridSpan w:val="2"/>
          </w:tcPr>
          <w:p>
            <w:pPr>
              <w:spacing w:after="0" w:line="142" w:lineRule="exact"/>
              <w:rPr>
                <w:rFonts w:ascii="Arial" w:cs="Arial" w:eastAsia="Arial" w:hAnsi="Arial"/>
                <w:sz w:val="14"/>
                <w:szCs w:val="14"/>
                <w:color w:val="0000FF"/>
                <w:w w:val="73"/>
              </w:rPr>
            </w:pPr>
            <w:hyperlink r:id="rId428">
              <w:r>
                <w:rPr>
                  <w:rFonts w:ascii="Arial" w:cs="Arial" w:eastAsia="Arial" w:hAnsi="Arial"/>
                  <w:sz w:val="14"/>
                  <w:szCs w:val="14"/>
                  <w:color w:val="0000FF"/>
                  <w:w w:val="73"/>
                </w:rPr>
                <w:t>10.</w:t>
              </w:r>
              <w:r>
                <w:rPr>
                  <w:rFonts w:ascii="Arial" w:cs="Arial" w:eastAsia="Arial" w:hAnsi="Arial"/>
                  <w:sz w:val="14"/>
                  <w:szCs w:val="14"/>
                  <w:u w:val="single" w:color="auto"/>
                  <w:color w:val="0000FF"/>
                  <w:w w:val="73"/>
                </w:rPr>
                <w:t>7</w:t>
              </w:r>
            </w:hyperlink>
          </w:p>
        </w:tc>
        <w:tc>
          <w:tcPr>
            <w:tcW w:w="4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40" w:type="dxa"/>
            <w:vAlign w:val="bottom"/>
            <w:gridSpan w:val="41"/>
          </w:tcPr>
          <w:p>
            <w:pPr>
              <w:spacing w:after="0" w:line="142" w:lineRule="exact"/>
              <w:rPr>
                <w:rFonts w:ascii="Arial" w:cs="Arial" w:eastAsia="Arial" w:hAnsi="Arial"/>
                <w:sz w:val="14"/>
                <w:szCs w:val="14"/>
                <w:color w:val="0000FF"/>
              </w:rPr>
            </w:pPr>
            <w:hyperlink r:id="rId428">
              <w:r>
                <w:rPr>
                  <w:rFonts w:ascii="Arial" w:cs="Arial" w:eastAsia="Arial" w:hAnsi="Arial"/>
                  <w:sz w:val="14"/>
                  <w:szCs w:val="14"/>
                  <w:color w:val="0000FF"/>
                </w:rPr>
                <w:t>Form of Stock Option Agreement under the Talkspace, Inc. 2021 Incentive Award Plan.</w:t>
              </w:r>
            </w:hyperlink>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4"/>
              </w:rPr>
              <w:t>10.7(b)</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6/23/21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gridSpan w:val="4"/>
          </w:tcPr>
          <w:p>
            <w:pPr>
              <w:spacing w:after="0" w:line="142" w:lineRule="exact"/>
              <w:rPr>
                <w:rFonts w:ascii="Arial" w:cs="Arial" w:eastAsia="Arial" w:hAnsi="Arial"/>
                <w:sz w:val="14"/>
                <w:szCs w:val="14"/>
                <w:color w:val="0000FF"/>
                <w:w w:val="95"/>
              </w:rPr>
            </w:pPr>
            <w:hyperlink r:id="rId429">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8</w:t>
              </w:r>
            </w:hyperlink>
          </w:p>
        </w:tc>
        <w:tc>
          <w:tcPr>
            <w:tcW w:w="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40" w:type="dxa"/>
            <w:vAlign w:val="bottom"/>
            <w:gridSpan w:val="41"/>
          </w:tcPr>
          <w:p>
            <w:pPr>
              <w:spacing w:after="0" w:line="142" w:lineRule="exact"/>
              <w:rPr>
                <w:rFonts w:ascii="Arial" w:cs="Arial" w:eastAsia="Arial" w:hAnsi="Arial"/>
                <w:sz w:val="14"/>
                <w:szCs w:val="14"/>
                <w:color w:val="0000FF"/>
              </w:rPr>
            </w:pPr>
            <w:hyperlink r:id="rId429">
              <w:r>
                <w:rPr>
                  <w:rFonts w:ascii="Arial" w:cs="Arial" w:eastAsia="Arial" w:hAnsi="Arial"/>
                  <w:sz w:val="14"/>
                  <w:szCs w:val="14"/>
                  <w:color w:val="0000FF"/>
                </w:rPr>
                <w:t>Form of Restricted Stock Unit Agreement under the Talkspace, Inc. 2021 Incentive Award Plan.</w:t>
              </w:r>
            </w:hyperlink>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10.9</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6/23/21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gridSpan w:val="4"/>
          </w:tcPr>
          <w:p>
            <w:pPr>
              <w:spacing w:after="0" w:line="142" w:lineRule="exact"/>
              <w:rPr>
                <w:rFonts w:ascii="Arial" w:cs="Arial" w:eastAsia="Arial" w:hAnsi="Arial"/>
                <w:sz w:val="14"/>
                <w:szCs w:val="14"/>
                <w:color w:val="0000FF"/>
                <w:w w:val="95"/>
              </w:rPr>
            </w:pPr>
            <w:hyperlink r:id="rId430">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9</w:t>
              </w:r>
            </w:hyperlink>
          </w:p>
        </w:tc>
        <w:tc>
          <w:tcPr>
            <w:tcW w:w="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gridSpan w:val="29"/>
          </w:tcPr>
          <w:p>
            <w:pPr>
              <w:spacing w:after="0" w:line="142" w:lineRule="exact"/>
              <w:rPr>
                <w:rFonts w:ascii="Arial" w:cs="Arial" w:eastAsia="Arial" w:hAnsi="Arial"/>
                <w:sz w:val="14"/>
                <w:szCs w:val="14"/>
                <w:color w:val="0000FF"/>
              </w:rPr>
            </w:pPr>
            <w:hyperlink r:id="rId430">
              <w:r>
                <w:rPr>
                  <w:rFonts w:ascii="Arial" w:cs="Arial" w:eastAsia="Arial" w:hAnsi="Arial"/>
                  <w:sz w:val="14"/>
                  <w:szCs w:val="14"/>
                  <w:color w:val="0000FF"/>
                </w:rPr>
                <w:t>Executive Severance Plan.</w:t>
              </w:r>
            </w:hyperlink>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 w:type="dxa"/>
            <w:vAlign w:val="bottom"/>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S-4/A</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333-252638</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1"/>
              </w:rPr>
              <w:t>10.19</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4/6/21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80" w:type="dxa"/>
            <w:vAlign w:val="bottom"/>
            <w:gridSpan w:val="8"/>
          </w:tcPr>
          <w:p>
            <w:pPr>
              <w:spacing w:after="0" w:line="142" w:lineRule="exact"/>
              <w:rPr>
                <w:rFonts w:ascii="Arial" w:cs="Arial" w:eastAsia="Arial" w:hAnsi="Arial"/>
                <w:sz w:val="14"/>
                <w:szCs w:val="14"/>
                <w:color w:val="0000FF"/>
              </w:rPr>
            </w:pPr>
            <w:hyperlink r:id="rId431">
              <w:r>
                <w:rPr>
                  <w:rFonts w:ascii="Arial" w:cs="Arial" w:eastAsia="Arial" w:hAnsi="Arial"/>
                  <w:sz w:val="14"/>
                  <w:szCs w:val="14"/>
                  <w:color w:val="0000FF"/>
                </w:rPr>
                <w:t>10.</w:t>
              </w:r>
              <w:r>
                <w:rPr>
                  <w:rFonts w:ascii="Arial" w:cs="Arial" w:eastAsia="Arial" w:hAnsi="Arial"/>
                  <w:sz w:val="14"/>
                  <w:szCs w:val="14"/>
                  <w:u w:val="single" w:color="auto"/>
                  <w:color w:val="0000FF"/>
                </w:rPr>
                <w:t>10</w:t>
              </w:r>
              <w:r>
                <w:rPr>
                  <w:rFonts w:ascii="Arial" w:cs="Arial" w:eastAsia="Arial" w:hAnsi="Arial"/>
                  <w:sz w:val="14"/>
                  <w:szCs w:val="14"/>
                  <w:color w:val="000000"/>
                </w:rPr>
                <w:t>+</w:t>
              </w:r>
            </w:hyperlink>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40" w:type="dxa"/>
            <w:vAlign w:val="bottom"/>
            <w:gridSpan w:val="41"/>
          </w:tcPr>
          <w:p>
            <w:pPr>
              <w:spacing w:after="0" w:line="142" w:lineRule="exact"/>
              <w:rPr>
                <w:rFonts w:ascii="Arial" w:cs="Arial" w:eastAsia="Arial" w:hAnsi="Arial"/>
                <w:sz w:val="14"/>
                <w:szCs w:val="14"/>
                <w:color w:val="0000FF"/>
                <w:w w:val="98"/>
              </w:rPr>
            </w:pPr>
            <w:hyperlink r:id="rId431">
              <w:r>
                <w:rPr>
                  <w:rFonts w:ascii="Arial" w:cs="Arial" w:eastAsia="Arial" w:hAnsi="Arial"/>
                  <w:sz w:val="14"/>
                  <w:szCs w:val="14"/>
                  <w:color w:val="0000FF"/>
                  <w:w w:val="98"/>
                </w:rPr>
                <w:t>Credit and Security Agreement, dated as of March 15, 2021, by and among Talkspace Network LLC,</w:t>
              </w:r>
            </w:hyperlink>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8"/>
            <w:vMerge w:val="restart"/>
          </w:tcPr>
          <w:p>
            <w:pPr>
              <w:spacing w:after="0"/>
              <w:rPr>
                <w:rFonts w:ascii="Arial" w:cs="Arial" w:eastAsia="Arial" w:hAnsi="Arial"/>
                <w:sz w:val="14"/>
                <w:szCs w:val="14"/>
                <w:color w:val="0000FF"/>
              </w:rPr>
            </w:pPr>
            <w:hyperlink r:id="rId432">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r>
              <w:rPr>
                <w:rFonts w:ascii="Arial" w:cs="Arial" w:eastAsia="Arial" w:hAnsi="Arial"/>
                <w:sz w:val="14"/>
                <w:szCs w:val="14"/>
                <w:color w:val="000000"/>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20" w:type="dxa"/>
            <w:vAlign w:val="bottom"/>
            <w:tcBorders>
              <w:bottom w:val="single" w:sz="8" w:color="0000FF"/>
            </w:tcBorders>
            <w:gridSpan w:val="20"/>
          </w:tcPr>
          <w:p>
            <w:pPr>
              <w:spacing w:after="0" w:line="129" w:lineRule="exact"/>
              <w:rPr>
                <w:rFonts w:ascii="Arial" w:cs="Arial" w:eastAsia="Arial" w:hAnsi="Arial"/>
                <w:sz w:val="14"/>
                <w:szCs w:val="14"/>
                <w:color w:val="0000FF"/>
                <w:w w:val="93"/>
              </w:rPr>
            </w:pPr>
            <w:hyperlink r:id="rId431">
              <w:r>
                <w:rPr>
                  <w:rFonts w:ascii="Arial" w:cs="Arial" w:eastAsia="Arial" w:hAnsi="Arial"/>
                  <w:sz w:val="14"/>
                  <w:szCs w:val="14"/>
                  <w:color w:val="0000FF"/>
                  <w:w w:val="93"/>
                </w:rPr>
                <w:t>Groop Internet Platform, Inc. and JPMorgan Chase Bank, N.A.</w:t>
              </w:r>
            </w:hyperlink>
          </w:p>
        </w:tc>
        <w:tc>
          <w:tcPr>
            <w:tcW w:w="20" w:type="dxa"/>
            <w:vAlign w:val="bottom"/>
            <w:tcBorders>
              <w:bottom w:val="single" w:sz="8" w:color="0000EE"/>
            </w:tcBorders>
          </w:tcPr>
          <w:p>
            <w:pPr>
              <w:spacing w:after="0"/>
              <w:rPr>
                <w:sz w:val="11"/>
                <w:szCs w:val="11"/>
                <w:color w:val="auto"/>
              </w:rPr>
            </w:pPr>
          </w:p>
        </w:tc>
        <w:tc>
          <w:tcPr>
            <w:tcW w:w="2220" w:type="dxa"/>
            <w:vAlign w:val="bottom"/>
            <w:gridSpan w:val="15"/>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89"/>
              </w:rPr>
              <w:t>10-Q</w:t>
            </w:r>
          </w:p>
        </w:tc>
        <w:tc>
          <w:tcPr>
            <w:tcW w:w="1040" w:type="dxa"/>
            <w:vAlign w:val="bottom"/>
            <w:vMerge w:val="restart"/>
          </w:tcPr>
          <w:p>
            <w:pPr>
              <w:jc w:val="center"/>
              <w:ind w:left="28"/>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1"/>
              </w:rPr>
              <w:t>10.14</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8/9/21</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40" w:type="dxa"/>
            <w:vAlign w:val="bottom"/>
            <w:gridSpan w:val="41"/>
          </w:tcPr>
          <w:p>
            <w:pPr>
              <w:spacing w:after="0" w:line="142" w:lineRule="exact"/>
              <w:rPr>
                <w:rFonts w:ascii="Arial" w:cs="Arial" w:eastAsia="Arial" w:hAnsi="Arial"/>
                <w:sz w:val="14"/>
                <w:szCs w:val="14"/>
                <w:color w:val="0000FF"/>
              </w:rPr>
            </w:pPr>
            <w:hyperlink r:id="rId432">
              <w:r>
                <w:rPr>
                  <w:rFonts w:ascii="Arial" w:cs="Arial" w:eastAsia="Arial" w:hAnsi="Arial"/>
                  <w:sz w:val="14"/>
                  <w:szCs w:val="14"/>
                  <w:color w:val="0000FF"/>
                </w:rPr>
                <w:t>Employment Agreement, dated July 2, 2021, between the Company and Jennifer Fulk.</w:t>
              </w:r>
            </w:hyperlink>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60" w:type="dxa"/>
            <w:vAlign w:val="bottom"/>
            <w:gridSpan w:val="3"/>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040" w:type="dxa"/>
            <w:vAlign w:val="bottom"/>
            <w:vMerge w:val="restart"/>
          </w:tcPr>
          <w:p>
            <w:pPr>
              <w:jc w:val="center"/>
              <w:ind w:left="28"/>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10.1</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5"/>
              </w:rPr>
              <w:t>12/10/21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300" w:type="dxa"/>
            <w:vAlign w:val="bottom"/>
            <w:gridSpan w:val="4"/>
          </w:tcPr>
          <w:p>
            <w:pPr>
              <w:spacing w:after="0" w:line="142" w:lineRule="exact"/>
              <w:rPr>
                <w:rFonts w:ascii="Arial" w:cs="Arial" w:eastAsia="Arial" w:hAnsi="Arial"/>
                <w:sz w:val="14"/>
                <w:szCs w:val="14"/>
                <w:color w:val="0000FF"/>
                <w:w w:val="74"/>
              </w:rPr>
            </w:pPr>
            <w:hyperlink r:id="rId433">
              <w:r>
                <w:rPr>
                  <w:rFonts w:ascii="Arial" w:cs="Arial" w:eastAsia="Arial" w:hAnsi="Arial"/>
                  <w:sz w:val="14"/>
                  <w:szCs w:val="14"/>
                  <w:color w:val="0000FF"/>
                  <w:w w:val="74"/>
                </w:rPr>
                <w:t>10.</w:t>
              </w:r>
              <w:r>
                <w:rPr>
                  <w:rFonts w:ascii="Arial" w:cs="Arial" w:eastAsia="Arial" w:hAnsi="Arial"/>
                  <w:sz w:val="14"/>
                  <w:szCs w:val="14"/>
                  <w:u w:val="single" w:color="auto"/>
                  <w:color w:val="0000FF"/>
                  <w:w w:val="74"/>
                </w:rPr>
                <w:t>12</w:t>
              </w:r>
            </w:hyperlink>
          </w:p>
        </w:tc>
        <w:tc>
          <w:tcPr>
            <w:tcW w:w="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40" w:type="dxa"/>
            <w:vAlign w:val="bottom"/>
            <w:gridSpan w:val="41"/>
          </w:tcPr>
          <w:p>
            <w:pPr>
              <w:spacing w:after="0" w:line="142" w:lineRule="exact"/>
              <w:rPr>
                <w:rFonts w:ascii="Arial" w:cs="Arial" w:eastAsia="Arial" w:hAnsi="Arial"/>
                <w:sz w:val="14"/>
                <w:szCs w:val="14"/>
                <w:color w:val="0000FF"/>
              </w:rPr>
            </w:pPr>
            <w:hyperlink r:id="rId433">
              <w:r>
                <w:rPr>
                  <w:rFonts w:ascii="Arial" w:cs="Arial" w:eastAsia="Arial" w:hAnsi="Arial"/>
                  <w:sz w:val="14"/>
                  <w:szCs w:val="14"/>
                  <w:color w:val="0000FF"/>
                </w:rPr>
                <w:t>Retention Agreement, dated December 6, 2021 by and between the Company and Jennifer Fulk.</w:t>
              </w:r>
            </w:hyperlink>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gridSpan w:val="2"/>
            <w:vMerge w:val="restart"/>
          </w:tcPr>
          <w:p>
            <w:pPr>
              <w:spacing w:after="0"/>
              <w:rPr>
                <w:rFonts w:ascii="Arial" w:cs="Arial" w:eastAsia="Arial" w:hAnsi="Arial"/>
                <w:sz w:val="14"/>
                <w:szCs w:val="14"/>
                <w:color w:val="auto"/>
              </w:rPr>
            </w:pPr>
            <w:hyperlink r:id="rId434">
              <w:r>
                <w:rPr>
                  <w:rFonts w:ascii="Arial" w:cs="Arial" w:eastAsia="Arial" w:hAnsi="Arial"/>
                  <w:sz w:val="14"/>
                  <w:szCs w:val="14"/>
                  <w:color w:val="auto"/>
                </w:rPr>
                <w:t>†</w:t>
              </w:r>
            </w:hyperlink>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0" w:type="dxa"/>
            <w:vAlign w:val="bottom"/>
            <w:gridSpan w:val="11"/>
            <w:vMerge w:val="restart"/>
          </w:tcPr>
          <w:p>
            <w:pPr>
              <w:spacing w:after="0"/>
              <w:rPr>
                <w:rFonts w:ascii="Arial" w:cs="Arial" w:eastAsia="Arial" w:hAnsi="Arial"/>
                <w:sz w:val="14"/>
                <w:szCs w:val="14"/>
                <w:color w:val="0000FF"/>
              </w:rPr>
            </w:pPr>
            <w:hyperlink r:id="rId434">
              <w:r>
                <w:rPr>
                  <w:rFonts w:ascii="Arial" w:cs="Arial" w:eastAsia="Arial" w:hAnsi="Arial"/>
                  <w:sz w:val="14"/>
                  <w:szCs w:val="14"/>
                  <w:color w:val="0000FF"/>
                </w:rPr>
                <w:t>Frank.</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10.4</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6/23/21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gridSpan w:val="6"/>
          </w:tcPr>
          <w:p>
            <w:pPr>
              <w:spacing w:after="0" w:line="142" w:lineRule="exact"/>
              <w:rPr>
                <w:rFonts w:ascii="Arial" w:cs="Arial" w:eastAsia="Arial" w:hAnsi="Arial"/>
                <w:sz w:val="14"/>
                <w:szCs w:val="14"/>
                <w:color w:val="0000FF"/>
                <w:w w:val="96"/>
              </w:rPr>
            </w:pPr>
            <w:hyperlink r:id="rId434">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13</w:t>
              </w:r>
            </w:hyperlink>
          </w:p>
        </w:tc>
        <w:tc>
          <w:tcPr>
            <w:tcW w:w="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40" w:type="dxa"/>
            <w:vAlign w:val="bottom"/>
            <w:gridSpan w:val="30"/>
          </w:tcPr>
          <w:p>
            <w:pPr>
              <w:spacing w:after="0" w:line="142" w:lineRule="exact"/>
              <w:rPr>
                <w:rFonts w:ascii="Arial" w:cs="Arial" w:eastAsia="Arial" w:hAnsi="Arial"/>
                <w:sz w:val="14"/>
                <w:szCs w:val="14"/>
                <w:color w:val="0000FF"/>
                <w:w w:val="93"/>
              </w:rPr>
            </w:pPr>
            <w:hyperlink r:id="rId434">
              <w:r>
                <w:rPr>
                  <w:rFonts w:ascii="Arial" w:cs="Arial" w:eastAsia="Arial" w:hAnsi="Arial"/>
                  <w:sz w:val="14"/>
                  <w:szCs w:val="14"/>
                  <w:color w:val="0000FF"/>
                  <w:w w:val="93"/>
                </w:rPr>
                <w:t>Employment Offer Letter, dated as of June 22, 2021, by and between Talkspace, Inc. and Oren</w:t>
              </w:r>
            </w:hyperlink>
          </w:p>
        </w:tc>
        <w:tc>
          <w:tcPr>
            <w:tcW w:w="600" w:type="dxa"/>
            <w:vAlign w:val="bottom"/>
            <w:gridSpan w:val="11"/>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8"/>
          </w:tcPr>
          <w:p>
            <w:pPr>
              <w:spacing w:after="0" w:line="155" w:lineRule="exact"/>
              <w:rPr>
                <w:rFonts w:ascii="Arial" w:cs="Arial" w:eastAsia="Arial" w:hAnsi="Arial"/>
                <w:sz w:val="14"/>
                <w:szCs w:val="14"/>
                <w:color w:val="0000FF"/>
              </w:rPr>
            </w:pPr>
            <w:hyperlink r:id="rId435">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r>
              <w:rPr>
                <w:rFonts w:ascii="Arial" w:cs="Arial" w:eastAsia="Arial" w:hAnsi="Arial"/>
                <w:sz w:val="14"/>
                <w:szCs w:val="14"/>
                <w:color w:val="000000"/>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55" w:lineRule="exact"/>
              <w:rPr>
                <w:rFonts w:ascii="Arial" w:cs="Arial" w:eastAsia="Arial" w:hAnsi="Arial"/>
                <w:sz w:val="14"/>
                <w:szCs w:val="14"/>
                <w:color w:val="0000FF"/>
              </w:rPr>
            </w:pPr>
            <w:hyperlink r:id="rId435">
              <w:r>
                <w:rPr>
                  <w:rFonts w:ascii="Arial" w:cs="Arial" w:eastAsia="Arial" w:hAnsi="Arial"/>
                  <w:sz w:val="14"/>
                  <w:szCs w:val="14"/>
                  <w:color w:val="0000FF"/>
                </w:rPr>
                <w:t>Employment Offer Letter, dated as of June 22, 2021, by and between Talkspace, Inc. and Mark</w:t>
              </w:r>
            </w:hyperlink>
          </w:p>
        </w:tc>
        <w:tc>
          <w:tcPr>
            <w:tcW w:w="620" w:type="dxa"/>
            <w:vAlign w:val="bottom"/>
          </w:tcPr>
          <w:p>
            <w:pPr>
              <w:jc w:val="center"/>
              <w:spacing w:after="0" w:line="155" w:lineRule="exact"/>
              <w:rPr>
                <w:sz w:val="20"/>
                <w:szCs w:val="20"/>
                <w:color w:val="auto"/>
              </w:rPr>
            </w:pPr>
            <w:r>
              <w:rPr>
                <w:rFonts w:ascii="Arial" w:cs="Arial" w:eastAsia="Arial" w:hAnsi="Arial"/>
                <w:sz w:val="14"/>
                <w:szCs w:val="14"/>
                <w:color w:val="auto"/>
              </w:rPr>
              <w:t>8-K</w:t>
            </w:r>
          </w:p>
        </w:tc>
        <w:tc>
          <w:tcPr>
            <w:tcW w:w="1040" w:type="dxa"/>
            <w:vAlign w:val="bottom"/>
          </w:tcPr>
          <w:p>
            <w:pPr>
              <w:jc w:val="center"/>
              <w:spacing w:after="0" w:line="155" w:lineRule="exact"/>
              <w:rPr>
                <w:sz w:val="20"/>
                <w:szCs w:val="20"/>
                <w:color w:val="auto"/>
              </w:rPr>
            </w:pPr>
            <w:r>
              <w:rPr>
                <w:rFonts w:ascii="Arial" w:cs="Arial" w:eastAsia="Arial" w:hAnsi="Arial"/>
                <w:sz w:val="14"/>
                <w:szCs w:val="14"/>
                <w:color w:val="auto"/>
                <w:w w:val="92"/>
              </w:rPr>
              <w:t>001-39314</w:t>
            </w:r>
          </w:p>
        </w:tc>
        <w:tc>
          <w:tcPr>
            <w:tcW w:w="760" w:type="dxa"/>
            <w:vAlign w:val="bottom"/>
          </w:tcPr>
          <w:p>
            <w:pPr>
              <w:jc w:val="center"/>
              <w:spacing w:after="0" w:line="155" w:lineRule="exact"/>
              <w:rPr>
                <w:sz w:val="20"/>
                <w:szCs w:val="20"/>
                <w:color w:val="auto"/>
              </w:rPr>
            </w:pPr>
            <w:r>
              <w:rPr>
                <w:rFonts w:ascii="Arial" w:cs="Arial" w:eastAsia="Arial" w:hAnsi="Arial"/>
                <w:sz w:val="14"/>
                <w:szCs w:val="14"/>
                <w:color w:val="auto"/>
                <w:w w:val="95"/>
              </w:rPr>
              <w:t>10.5</w:t>
            </w:r>
          </w:p>
        </w:tc>
        <w:tc>
          <w:tcPr>
            <w:tcW w:w="640" w:type="dxa"/>
            <w:vAlign w:val="bottom"/>
          </w:tcPr>
          <w:p>
            <w:pPr>
              <w:jc w:val="center"/>
              <w:spacing w:after="0" w:line="155" w:lineRule="exact"/>
              <w:rPr>
                <w:sz w:val="20"/>
                <w:szCs w:val="20"/>
                <w:color w:val="auto"/>
              </w:rPr>
            </w:pPr>
            <w:r>
              <w:rPr>
                <w:rFonts w:ascii="Arial" w:cs="Arial" w:eastAsia="Arial" w:hAnsi="Arial"/>
                <w:sz w:val="14"/>
                <w:szCs w:val="14"/>
                <w:color w:val="auto"/>
                <w:w w:val="94"/>
              </w:rPr>
              <w:t>6/23/21</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8"/>
            <w:vMerge w:val="restart"/>
          </w:tcPr>
          <w:p>
            <w:pPr>
              <w:spacing w:after="0"/>
              <w:rPr>
                <w:rFonts w:ascii="Arial" w:cs="Arial" w:eastAsia="Arial" w:hAnsi="Arial"/>
                <w:sz w:val="14"/>
                <w:szCs w:val="14"/>
                <w:color w:val="0000FF"/>
              </w:rPr>
            </w:pPr>
            <w:hyperlink r:id="rId436">
              <w:r>
                <w:rPr>
                  <w:rFonts w:ascii="Arial" w:cs="Arial" w:eastAsia="Arial" w:hAnsi="Arial"/>
                  <w:sz w:val="14"/>
                  <w:szCs w:val="14"/>
                  <w:color w:val="0000FF"/>
                </w:rPr>
                <w:t>10.</w:t>
              </w:r>
              <w:r>
                <w:rPr>
                  <w:rFonts w:ascii="Arial" w:cs="Arial" w:eastAsia="Arial" w:hAnsi="Arial"/>
                  <w:sz w:val="14"/>
                  <w:szCs w:val="14"/>
                  <w:u w:val="single" w:color="auto"/>
                  <w:color w:val="0000FF"/>
                </w:rPr>
                <w:t>15</w:t>
              </w:r>
            </w:hyperlink>
            <w:r>
              <w:rPr>
                <w:rFonts w:ascii="Arial" w:cs="Arial" w:eastAsia="Arial" w:hAnsi="Arial"/>
                <w:sz w:val="14"/>
                <w:szCs w:val="14"/>
                <w:color w:val="000000"/>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80" w:type="dxa"/>
            <w:vAlign w:val="bottom"/>
            <w:gridSpan w:val="27"/>
          </w:tcPr>
          <w:p>
            <w:pPr>
              <w:spacing w:after="0" w:line="129" w:lineRule="exact"/>
              <w:rPr>
                <w:rFonts w:ascii="Arial" w:cs="Arial" w:eastAsia="Arial" w:hAnsi="Arial"/>
                <w:sz w:val="14"/>
                <w:szCs w:val="14"/>
                <w:color w:val="0000FF"/>
              </w:rPr>
            </w:pPr>
            <w:hyperlink r:id="rId435">
              <w:r>
                <w:rPr>
                  <w:rFonts w:ascii="Arial" w:cs="Arial" w:eastAsia="Arial" w:hAnsi="Arial"/>
                  <w:sz w:val="14"/>
                  <w:szCs w:val="14"/>
                  <w:color w:val="0000FF"/>
                </w:rPr>
                <w:t>Hirschhorn.</w:t>
              </w:r>
            </w:hyperlink>
          </w:p>
        </w:tc>
        <w:tc>
          <w:tcPr>
            <w:tcW w:w="120" w:type="dxa"/>
            <w:vAlign w:val="bottom"/>
            <w:gridSpan w:val="4"/>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100" w:type="dxa"/>
            <w:vAlign w:val="bottom"/>
            <w:gridSpan w:val="3"/>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2"/>
              </w:rPr>
              <w:t>001-39314</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10.6</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6/23/21</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0000FF"/>
            </w:tcBorders>
            <w:gridSpan w:val="2"/>
          </w:tcPr>
          <w:p>
            <w:pPr>
              <w:spacing w:after="0" w:line="142" w:lineRule="exact"/>
              <w:rPr>
                <w:rFonts w:ascii="Arial" w:cs="Arial" w:eastAsia="Arial" w:hAnsi="Arial"/>
                <w:sz w:val="14"/>
                <w:szCs w:val="14"/>
                <w:color w:val="0000FF"/>
                <w:w w:val="82"/>
              </w:rPr>
            </w:pPr>
            <w:hyperlink r:id="rId436">
              <w:r>
                <w:rPr>
                  <w:rFonts w:ascii="Arial" w:cs="Arial" w:eastAsia="Arial" w:hAnsi="Arial"/>
                  <w:sz w:val="14"/>
                  <w:szCs w:val="14"/>
                  <w:color w:val="0000FF"/>
                  <w:w w:val="82"/>
                </w:rPr>
                <w:t>Employment</w:t>
              </w:r>
            </w:hyperlink>
          </w:p>
        </w:tc>
        <w:tc>
          <w:tcPr>
            <w:tcW w:w="20" w:type="dxa"/>
            <w:vAlign w:val="bottom"/>
            <w:tcBorders>
              <w:top w:val="single" w:sz="8" w:color="0000EE"/>
            </w:tcBorders>
          </w:tcPr>
          <w:p>
            <w:pPr>
              <w:spacing w:after="0"/>
              <w:rPr>
                <w:sz w:val="12"/>
                <w:szCs w:val="12"/>
                <w:color w:val="auto"/>
              </w:rPr>
            </w:pPr>
          </w:p>
        </w:tc>
        <w:tc>
          <w:tcPr>
            <w:tcW w:w="5460" w:type="dxa"/>
            <w:vAlign w:val="bottom"/>
            <w:gridSpan w:val="38"/>
          </w:tcPr>
          <w:p>
            <w:pPr>
              <w:ind w:left="80"/>
              <w:spacing w:after="0" w:line="142" w:lineRule="exact"/>
              <w:rPr>
                <w:rFonts w:ascii="Arial" w:cs="Arial" w:eastAsia="Arial" w:hAnsi="Arial"/>
                <w:sz w:val="14"/>
                <w:szCs w:val="14"/>
                <w:color w:val="0000FF"/>
                <w:w w:val="97"/>
              </w:rPr>
            </w:pPr>
            <w:hyperlink r:id="rId436">
              <w:r>
                <w:rPr>
                  <w:rFonts w:ascii="Arial" w:cs="Arial" w:eastAsia="Arial" w:hAnsi="Arial"/>
                  <w:sz w:val="14"/>
                  <w:szCs w:val="14"/>
                  <w:color w:val="0000FF"/>
                  <w:w w:val="97"/>
                </w:rPr>
                <w:t>Offer Letter, dated as of June 22, 2021, by and between Talkspace, Inc. and Roni Frank.</w:t>
              </w:r>
            </w:hyperlink>
          </w:p>
        </w:tc>
        <w:tc>
          <w:tcPr>
            <w:tcW w:w="6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8"/>
          </w:tcPr>
          <w:p>
            <w:pPr>
              <w:spacing w:after="0" w:line="142" w:lineRule="exact"/>
              <w:rPr>
                <w:rFonts w:ascii="Arial" w:cs="Arial" w:eastAsia="Arial" w:hAnsi="Arial"/>
                <w:sz w:val="14"/>
                <w:szCs w:val="14"/>
                <w:color w:val="0000FF"/>
              </w:rPr>
            </w:pPr>
            <w:hyperlink w:anchor="page137">
              <w:r>
                <w:rPr>
                  <w:rFonts w:ascii="Arial" w:cs="Arial" w:eastAsia="Arial" w:hAnsi="Arial"/>
                  <w:sz w:val="14"/>
                  <w:szCs w:val="14"/>
                  <w:color w:val="0000FF"/>
                </w:rPr>
                <w:t>10.</w:t>
              </w:r>
              <w:r>
                <w:rPr>
                  <w:rFonts w:ascii="Arial" w:cs="Arial" w:eastAsia="Arial" w:hAnsi="Arial"/>
                  <w:sz w:val="14"/>
                  <w:szCs w:val="14"/>
                  <w:u w:val="single" w:color="auto"/>
                  <w:color w:val="0000FF"/>
                </w:rPr>
                <w:t>16</w:t>
              </w:r>
            </w:hyperlink>
            <w:r>
              <w:rPr>
                <w:rFonts w:ascii="Arial" w:cs="Arial" w:eastAsia="Arial" w:hAnsi="Arial"/>
                <w:sz w:val="14"/>
                <w:szCs w:val="14"/>
                <w:color w:val="000000"/>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42" w:lineRule="exact"/>
              <w:rPr>
                <w:rFonts w:ascii="Arial" w:cs="Arial" w:eastAsia="Arial" w:hAnsi="Arial"/>
                <w:sz w:val="14"/>
                <w:szCs w:val="14"/>
                <w:color w:val="0000FF"/>
                <w:w w:val="96"/>
              </w:rPr>
            </w:pPr>
            <w:hyperlink w:anchor="page137">
              <w:r>
                <w:rPr>
                  <w:rFonts w:ascii="Arial" w:cs="Arial" w:eastAsia="Arial" w:hAnsi="Arial"/>
                  <w:sz w:val="14"/>
                  <w:szCs w:val="14"/>
                  <w:color w:val="0000FF"/>
                  <w:w w:val="96"/>
                </w:rPr>
                <w:t>Employment Offer Letter, dated as of June 22, 2021, by and between Talkspace, Inc. and Gil Margolin.</w:t>
              </w:r>
            </w:hyperlink>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vMerge w:val="restart"/>
          </w:tcPr>
          <w:p>
            <w:pPr>
              <w:jc w:val="center"/>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8"/>
          </w:tcPr>
          <w:p>
            <w:pPr>
              <w:spacing w:after="0" w:line="142" w:lineRule="exact"/>
              <w:rPr>
                <w:rFonts w:ascii="Arial" w:cs="Arial" w:eastAsia="Arial" w:hAnsi="Arial"/>
                <w:sz w:val="14"/>
                <w:szCs w:val="14"/>
                <w:color w:val="0000FF"/>
              </w:rPr>
            </w:pPr>
            <w:hyperlink w:anchor="page147">
              <w:r>
                <w:rPr>
                  <w:rFonts w:ascii="Arial" w:cs="Arial" w:eastAsia="Arial" w:hAnsi="Arial"/>
                  <w:sz w:val="14"/>
                  <w:szCs w:val="14"/>
                  <w:color w:val="0000FF"/>
                </w:rPr>
                <w:t>10.</w:t>
              </w:r>
              <w:r>
                <w:rPr>
                  <w:rFonts w:ascii="Arial" w:cs="Arial" w:eastAsia="Arial" w:hAnsi="Arial"/>
                  <w:sz w:val="14"/>
                  <w:szCs w:val="14"/>
                  <w:u w:val="single" w:color="auto"/>
                  <w:color w:val="0000FF"/>
                </w:rPr>
                <w:t>17</w:t>
              </w:r>
            </w:hyperlink>
            <w:r>
              <w:rPr>
                <w:rFonts w:ascii="Arial" w:cs="Arial" w:eastAsia="Arial" w:hAnsi="Arial"/>
                <w:sz w:val="14"/>
                <w:szCs w:val="14"/>
                <w:color w:val="000000"/>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42" w:lineRule="exact"/>
              <w:rPr>
                <w:rFonts w:ascii="Arial" w:cs="Arial" w:eastAsia="Arial" w:hAnsi="Arial"/>
                <w:sz w:val="14"/>
                <w:szCs w:val="14"/>
                <w:color w:val="0000FF"/>
              </w:rPr>
            </w:pPr>
            <w:hyperlink w:anchor="page147">
              <w:r>
                <w:rPr>
                  <w:rFonts w:ascii="Arial" w:cs="Arial" w:eastAsia="Arial" w:hAnsi="Arial"/>
                  <w:sz w:val="14"/>
                  <w:szCs w:val="14"/>
                  <w:color w:val="0000FF"/>
                </w:rPr>
                <w:t>Employment Offer Letter, dated as of June 22, 2021, by and between Talkspace, Inc. and Samara</w:t>
              </w:r>
            </w:hyperlink>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7"/>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8"/>
            <w:vMerge w:val="restart"/>
          </w:tcPr>
          <w:p>
            <w:pPr>
              <w:spacing w:after="0"/>
              <w:rPr>
                <w:rFonts w:ascii="Arial" w:cs="Arial" w:eastAsia="Arial" w:hAnsi="Arial"/>
                <w:sz w:val="14"/>
                <w:szCs w:val="14"/>
                <w:color w:val="0000FF"/>
              </w:rPr>
            </w:pPr>
            <w:hyperlink w:anchor="page157">
              <w:r>
                <w:rPr>
                  <w:rFonts w:ascii="Arial" w:cs="Arial" w:eastAsia="Arial" w:hAnsi="Arial"/>
                  <w:sz w:val="14"/>
                  <w:szCs w:val="14"/>
                  <w:color w:val="0000FF"/>
                </w:rPr>
                <w:t>10.</w:t>
              </w:r>
              <w:r>
                <w:rPr>
                  <w:rFonts w:ascii="Arial" w:cs="Arial" w:eastAsia="Arial" w:hAnsi="Arial"/>
                  <w:sz w:val="14"/>
                  <w:szCs w:val="14"/>
                  <w:u w:val="single" w:color="auto"/>
                  <w:color w:val="0000FF"/>
                </w:rPr>
                <w:t>18</w:t>
              </w:r>
            </w:hyperlink>
            <w:r>
              <w:rPr>
                <w:rFonts w:ascii="Arial" w:cs="Arial" w:eastAsia="Arial" w:hAnsi="Arial"/>
                <w:sz w:val="14"/>
                <w:szCs w:val="14"/>
                <w:color w:val="000000"/>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20" w:type="dxa"/>
            <w:vAlign w:val="bottom"/>
            <w:gridSpan w:val="32"/>
          </w:tcPr>
          <w:p>
            <w:pPr>
              <w:spacing w:after="0" w:line="129" w:lineRule="exact"/>
              <w:rPr>
                <w:rFonts w:ascii="Arial" w:cs="Arial" w:eastAsia="Arial" w:hAnsi="Arial"/>
                <w:sz w:val="14"/>
                <w:szCs w:val="14"/>
                <w:color w:val="0000FF"/>
              </w:rPr>
            </w:pPr>
            <w:hyperlink w:anchor="page147">
              <w:r>
                <w:rPr>
                  <w:rFonts w:ascii="Arial" w:cs="Arial" w:eastAsia="Arial" w:hAnsi="Arial"/>
                  <w:sz w:val="14"/>
                  <w:szCs w:val="14"/>
                  <w:color w:val="0000FF"/>
                </w:rPr>
                <w:t>Braunstein.</w:t>
              </w:r>
            </w:hyperlink>
          </w:p>
        </w:tc>
        <w:tc>
          <w:tcPr>
            <w:tcW w:w="340" w:type="dxa"/>
            <w:vAlign w:val="bottom"/>
            <w:gridSpan w:val="7"/>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0000FF"/>
            </w:tcBorders>
          </w:tcPr>
          <w:p>
            <w:pPr>
              <w:spacing w:after="0" w:line="129" w:lineRule="exact"/>
              <w:rPr>
                <w:rFonts w:ascii="Arial" w:cs="Arial" w:eastAsia="Arial" w:hAnsi="Arial"/>
                <w:sz w:val="14"/>
                <w:szCs w:val="14"/>
                <w:color w:val="0000FF"/>
                <w:w w:val="79"/>
              </w:rPr>
            </w:pPr>
            <w:hyperlink w:anchor="page157">
              <w:r>
                <w:rPr>
                  <w:rFonts w:ascii="Arial" w:cs="Arial" w:eastAsia="Arial" w:hAnsi="Arial"/>
                  <w:sz w:val="14"/>
                  <w:szCs w:val="14"/>
                  <w:color w:val="0000FF"/>
                  <w:w w:val="79"/>
                </w:rPr>
                <w:t>Employment</w:t>
              </w:r>
            </w:hyperlink>
          </w:p>
        </w:tc>
        <w:tc>
          <w:tcPr>
            <w:tcW w:w="20" w:type="dxa"/>
            <w:vAlign w:val="bottom"/>
            <w:tcBorders>
              <w:top w:val="single" w:sz="8" w:color="0000EE"/>
            </w:tcBorders>
          </w:tcPr>
          <w:p>
            <w:pPr>
              <w:spacing w:after="0"/>
              <w:rPr>
                <w:sz w:val="12"/>
                <w:szCs w:val="12"/>
                <w:color w:val="auto"/>
              </w:rPr>
            </w:pPr>
          </w:p>
        </w:tc>
        <w:tc>
          <w:tcPr>
            <w:tcW w:w="5480" w:type="dxa"/>
            <w:vAlign w:val="bottom"/>
            <w:gridSpan w:val="39"/>
          </w:tcPr>
          <w:p>
            <w:pPr>
              <w:ind w:left="100"/>
              <w:spacing w:after="0" w:line="122" w:lineRule="exact"/>
              <w:rPr>
                <w:rFonts w:ascii="Arial" w:cs="Arial" w:eastAsia="Arial" w:hAnsi="Arial"/>
                <w:sz w:val="14"/>
                <w:szCs w:val="14"/>
                <w:color w:val="0000FF"/>
                <w:w w:val="94"/>
              </w:rPr>
            </w:pPr>
            <w:hyperlink w:anchor="page157">
              <w:r>
                <w:rPr>
                  <w:rFonts w:ascii="Arial" w:cs="Arial" w:eastAsia="Arial" w:hAnsi="Arial"/>
                  <w:sz w:val="14"/>
                  <w:szCs w:val="14"/>
                  <w:color w:val="0000FF"/>
                  <w:w w:val="94"/>
                </w:rPr>
                <w:t>Offer Letter, dated as of June 22, 2021, by and between Talkspace, Inc. and John C. Reilly.</w:t>
              </w:r>
            </w:hyperlink>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7"/>
            <w:shd w:val="clear" w:color="auto" w:fill="0000FF"/>
          </w:tcPr>
          <w:p>
            <w:pPr>
              <w:spacing w:after="0" w:line="20" w:lineRule="exact"/>
              <w:rPr>
                <w:sz w:val="1"/>
                <w:szCs w:val="1"/>
                <w:color w:val="auto"/>
              </w:rPr>
            </w:pPr>
          </w:p>
        </w:tc>
        <w:tc>
          <w:tcPr>
            <w:tcW w:w="360" w:type="dxa"/>
            <w:vAlign w:val="bottom"/>
            <w:gridSpan w:val="8"/>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vMerge w:val="restart"/>
          </w:tcPr>
          <w:p>
            <w:pPr>
              <w:jc w:val="center"/>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8"/>
          </w:tcPr>
          <w:p>
            <w:pPr>
              <w:spacing w:after="0" w:line="142" w:lineRule="exact"/>
              <w:rPr>
                <w:rFonts w:ascii="Arial" w:cs="Arial" w:eastAsia="Arial" w:hAnsi="Arial"/>
                <w:sz w:val="14"/>
                <w:szCs w:val="14"/>
                <w:color w:val="0000FF"/>
              </w:rPr>
            </w:pPr>
            <w:hyperlink w:anchor="page167">
              <w:r>
                <w:rPr>
                  <w:rFonts w:ascii="Arial" w:cs="Arial" w:eastAsia="Arial" w:hAnsi="Arial"/>
                  <w:sz w:val="14"/>
                  <w:szCs w:val="14"/>
                  <w:color w:val="0000FF"/>
                </w:rPr>
                <w:t>10.</w:t>
              </w:r>
              <w:r>
                <w:rPr>
                  <w:rFonts w:ascii="Arial" w:cs="Arial" w:eastAsia="Arial" w:hAnsi="Arial"/>
                  <w:sz w:val="14"/>
                  <w:szCs w:val="14"/>
                  <w:u w:val="single" w:color="auto"/>
                  <w:color w:val="0000FF"/>
                </w:rPr>
                <w:t>19</w:t>
              </w:r>
            </w:hyperlink>
            <w:r>
              <w:rPr>
                <w:rFonts w:ascii="Arial" w:cs="Arial" w:eastAsia="Arial" w:hAnsi="Arial"/>
                <w:sz w:val="14"/>
                <w:szCs w:val="14"/>
                <w:color w:val="000000"/>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42" w:lineRule="exact"/>
              <w:rPr>
                <w:rFonts w:ascii="Arial" w:cs="Arial" w:eastAsia="Arial" w:hAnsi="Arial"/>
                <w:sz w:val="14"/>
                <w:szCs w:val="14"/>
                <w:color w:val="0000FF"/>
                <w:w w:val="95"/>
              </w:rPr>
            </w:pPr>
            <w:hyperlink w:anchor="page167">
              <w:r>
                <w:rPr>
                  <w:rFonts w:ascii="Arial" w:cs="Arial" w:eastAsia="Arial" w:hAnsi="Arial"/>
                  <w:sz w:val="14"/>
                  <w:szCs w:val="14"/>
                  <w:color w:val="0000FF"/>
                  <w:w w:val="95"/>
                </w:rPr>
                <w:t>Retention Agreement, dated as of December 6, 2021, by and between Talkspace, Inc. and Gil Margolin.</w:t>
              </w:r>
            </w:hyperlink>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7"/>
            <w:shd w:val="clear" w:color="auto" w:fill="0000FF"/>
          </w:tcPr>
          <w:p>
            <w:pPr>
              <w:spacing w:after="0" w:line="20" w:lineRule="exact"/>
              <w:rPr>
                <w:sz w:val="1"/>
                <w:szCs w:val="1"/>
                <w:color w:val="auto"/>
              </w:rPr>
            </w:pPr>
          </w:p>
        </w:tc>
        <w:tc>
          <w:tcPr>
            <w:tcW w:w="36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vMerge w:val="restart"/>
          </w:tcPr>
          <w:p>
            <w:pPr>
              <w:jc w:val="center"/>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8"/>
          </w:tcPr>
          <w:p>
            <w:pPr>
              <w:spacing w:after="0" w:line="142" w:lineRule="exact"/>
              <w:rPr>
                <w:rFonts w:ascii="Arial" w:cs="Arial" w:eastAsia="Arial" w:hAnsi="Arial"/>
                <w:sz w:val="14"/>
                <w:szCs w:val="14"/>
                <w:color w:val="0000FF"/>
              </w:rPr>
            </w:pPr>
            <w:hyperlink w:anchor="page170">
              <w:r>
                <w:rPr>
                  <w:rFonts w:ascii="Arial" w:cs="Arial" w:eastAsia="Arial" w:hAnsi="Arial"/>
                  <w:sz w:val="14"/>
                  <w:szCs w:val="14"/>
                  <w:color w:val="0000FF"/>
                </w:rPr>
                <w:t>10.</w:t>
              </w:r>
              <w:r>
                <w:rPr>
                  <w:rFonts w:ascii="Arial" w:cs="Arial" w:eastAsia="Arial" w:hAnsi="Arial"/>
                  <w:sz w:val="14"/>
                  <w:szCs w:val="14"/>
                  <w:u w:val="single" w:color="auto"/>
                  <w:color w:val="0000FF"/>
                </w:rPr>
                <w:t>20</w:t>
              </w:r>
            </w:hyperlink>
            <w:r>
              <w:rPr>
                <w:rFonts w:ascii="Arial" w:cs="Arial" w:eastAsia="Arial" w:hAnsi="Arial"/>
                <w:sz w:val="14"/>
                <w:szCs w:val="14"/>
                <w:color w:val="000000"/>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42" w:lineRule="exact"/>
              <w:rPr>
                <w:rFonts w:ascii="Arial" w:cs="Arial" w:eastAsia="Arial" w:hAnsi="Arial"/>
                <w:sz w:val="14"/>
                <w:szCs w:val="14"/>
                <w:color w:val="0000FF"/>
              </w:rPr>
            </w:pPr>
            <w:hyperlink w:anchor="page170">
              <w:r>
                <w:rPr>
                  <w:rFonts w:ascii="Arial" w:cs="Arial" w:eastAsia="Arial" w:hAnsi="Arial"/>
                  <w:sz w:val="14"/>
                  <w:szCs w:val="14"/>
                  <w:color w:val="0000FF"/>
                </w:rPr>
                <w:t>Retention Agreement, dated as of December 6,2021, by and between Talkspace, Inc. and Samara</w:t>
              </w:r>
            </w:hyperlink>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7"/>
            <w:shd w:val="clear" w:color="auto" w:fill="0000FF"/>
          </w:tcPr>
          <w:p>
            <w:pPr>
              <w:spacing w:after="0" w:line="20" w:lineRule="exact"/>
              <w:rPr>
                <w:sz w:val="1"/>
                <w:szCs w:val="1"/>
                <w:color w:val="auto"/>
              </w:rPr>
            </w:pPr>
          </w:p>
        </w:tc>
        <w:tc>
          <w:tcPr>
            <w:tcW w:w="420" w:type="dxa"/>
            <w:vAlign w:val="bottom"/>
            <w:gridSpan w:val="9"/>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8"/>
            <w:vMerge w:val="restart"/>
          </w:tcPr>
          <w:p>
            <w:pPr>
              <w:spacing w:after="0"/>
              <w:rPr>
                <w:rFonts w:ascii="Arial" w:cs="Arial" w:eastAsia="Arial" w:hAnsi="Arial"/>
                <w:sz w:val="14"/>
                <w:szCs w:val="14"/>
                <w:color w:val="0000FF"/>
              </w:rPr>
            </w:pPr>
            <w:hyperlink w:anchor="page173">
              <w:r>
                <w:rPr>
                  <w:rFonts w:ascii="Arial" w:cs="Arial" w:eastAsia="Arial" w:hAnsi="Arial"/>
                  <w:sz w:val="14"/>
                  <w:szCs w:val="14"/>
                  <w:color w:val="0000FF"/>
                </w:rPr>
                <w:t>10.</w:t>
              </w:r>
              <w:r>
                <w:rPr>
                  <w:rFonts w:ascii="Arial" w:cs="Arial" w:eastAsia="Arial" w:hAnsi="Arial"/>
                  <w:sz w:val="14"/>
                  <w:szCs w:val="14"/>
                  <w:u w:val="single" w:color="auto"/>
                  <w:color w:val="0000FF"/>
                </w:rPr>
                <w:t>21</w:t>
              </w:r>
            </w:hyperlink>
            <w:r>
              <w:rPr>
                <w:rFonts w:ascii="Arial" w:cs="Arial" w:eastAsia="Arial" w:hAnsi="Arial"/>
                <w:sz w:val="14"/>
                <w:szCs w:val="14"/>
                <w:color w:val="000000"/>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0" w:type="dxa"/>
            <w:vAlign w:val="bottom"/>
            <w:gridSpan w:val="31"/>
          </w:tcPr>
          <w:p>
            <w:pPr>
              <w:spacing w:after="0" w:line="129" w:lineRule="exact"/>
              <w:rPr>
                <w:rFonts w:ascii="Arial" w:cs="Arial" w:eastAsia="Arial" w:hAnsi="Arial"/>
                <w:sz w:val="14"/>
                <w:szCs w:val="14"/>
                <w:color w:val="0000FF"/>
              </w:rPr>
            </w:pPr>
            <w:hyperlink w:anchor="page170">
              <w:r>
                <w:rPr>
                  <w:rFonts w:ascii="Arial" w:cs="Arial" w:eastAsia="Arial" w:hAnsi="Arial"/>
                  <w:sz w:val="14"/>
                  <w:szCs w:val="14"/>
                  <w:color w:val="0000FF"/>
                </w:rPr>
                <w:t>Braunstein.</w:t>
              </w:r>
            </w:hyperlink>
          </w:p>
        </w:tc>
        <w:tc>
          <w:tcPr>
            <w:tcW w:w="420" w:type="dxa"/>
            <w:vAlign w:val="bottom"/>
            <w:gridSpan w:val="9"/>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0000FF"/>
            </w:tcBorders>
          </w:tcPr>
          <w:p>
            <w:pPr>
              <w:spacing w:after="0" w:line="129" w:lineRule="exact"/>
              <w:rPr>
                <w:rFonts w:ascii="Arial" w:cs="Arial" w:eastAsia="Arial" w:hAnsi="Arial"/>
                <w:sz w:val="14"/>
                <w:szCs w:val="14"/>
                <w:color w:val="0000FF"/>
              </w:rPr>
            </w:pPr>
            <w:hyperlink w:anchor="page173">
              <w:r>
                <w:rPr>
                  <w:rFonts w:ascii="Arial" w:cs="Arial" w:eastAsia="Arial" w:hAnsi="Arial"/>
                  <w:sz w:val="14"/>
                  <w:szCs w:val="14"/>
                  <w:color w:val="0000FF"/>
                </w:rPr>
                <w:t>Retention</w:t>
              </w:r>
            </w:hyperlink>
          </w:p>
        </w:tc>
        <w:tc>
          <w:tcPr>
            <w:tcW w:w="20" w:type="dxa"/>
            <w:vAlign w:val="bottom"/>
            <w:tcBorders>
              <w:top w:val="single" w:sz="8" w:color="0000EE"/>
            </w:tcBorders>
          </w:tcPr>
          <w:p>
            <w:pPr>
              <w:spacing w:after="0"/>
              <w:rPr>
                <w:sz w:val="12"/>
                <w:szCs w:val="12"/>
                <w:color w:val="auto"/>
              </w:rPr>
            </w:pPr>
          </w:p>
        </w:tc>
        <w:tc>
          <w:tcPr>
            <w:tcW w:w="5480" w:type="dxa"/>
            <w:vAlign w:val="bottom"/>
            <w:gridSpan w:val="39"/>
          </w:tcPr>
          <w:p>
            <w:pPr>
              <w:spacing w:after="0" w:line="122" w:lineRule="exact"/>
              <w:rPr>
                <w:rFonts w:ascii="Arial" w:cs="Arial" w:eastAsia="Arial" w:hAnsi="Arial"/>
                <w:sz w:val="14"/>
                <w:szCs w:val="14"/>
                <w:color w:val="0000FF"/>
                <w:w w:val="92"/>
              </w:rPr>
            </w:pPr>
            <w:hyperlink w:anchor="page173">
              <w:r>
                <w:rPr>
                  <w:rFonts w:ascii="Arial" w:cs="Arial" w:eastAsia="Arial" w:hAnsi="Arial"/>
                  <w:sz w:val="14"/>
                  <w:szCs w:val="14"/>
                  <w:color w:val="0000FF"/>
                  <w:w w:val="92"/>
                </w:rPr>
                <w:t>Agreement, dated as of December 6, 2021, by and between Talkspace, Inc. and John C. Reilly.</w:t>
              </w:r>
            </w:hyperlink>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1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80" w:type="dxa"/>
            <w:vAlign w:val="bottom"/>
            <w:gridSpan w:val="4"/>
          </w:tcPr>
          <w:p>
            <w:pPr>
              <w:spacing w:after="0" w:line="155" w:lineRule="exact"/>
              <w:rPr>
                <w:rFonts w:ascii="Arial" w:cs="Arial" w:eastAsia="Arial" w:hAnsi="Arial"/>
                <w:sz w:val="14"/>
                <w:szCs w:val="14"/>
                <w:color w:val="0000FF"/>
                <w:w w:val="95"/>
              </w:rPr>
            </w:pPr>
            <w:hyperlink r:id="rId437">
              <w:r>
                <w:rPr>
                  <w:rFonts w:ascii="Arial" w:cs="Arial" w:eastAsia="Arial" w:hAnsi="Arial"/>
                  <w:sz w:val="14"/>
                  <w:szCs w:val="14"/>
                  <w:color w:val="0000FF"/>
                  <w:w w:val="95"/>
                </w:rPr>
                <w:t>21.</w:t>
              </w:r>
              <w:r>
                <w:rPr>
                  <w:rFonts w:ascii="Arial" w:cs="Arial" w:eastAsia="Arial" w:hAnsi="Arial"/>
                  <w:sz w:val="14"/>
                  <w:szCs w:val="14"/>
                  <w:u w:val="single" w:color="auto"/>
                  <w:color w:val="0000FF"/>
                  <w:w w:val="95"/>
                </w:rPr>
                <w:t>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55" w:lineRule="exact"/>
              <w:rPr>
                <w:rFonts w:ascii="Arial" w:cs="Arial" w:eastAsia="Arial" w:hAnsi="Arial"/>
                <w:sz w:val="14"/>
                <w:szCs w:val="14"/>
                <w:color w:val="0000FF"/>
              </w:rPr>
            </w:pPr>
            <w:hyperlink r:id="rId437">
              <w:r>
                <w:rPr>
                  <w:rFonts w:ascii="Arial" w:cs="Arial" w:eastAsia="Arial" w:hAnsi="Arial"/>
                  <w:sz w:val="14"/>
                  <w:szCs w:val="14"/>
                  <w:color w:val="0000FF"/>
                </w:rPr>
                <w:t>List of Subsidiaries of Talkspace, Inc</w:t>
              </w:r>
            </w:hyperlink>
          </w:p>
        </w:tc>
        <w:tc>
          <w:tcPr>
            <w:tcW w:w="620" w:type="dxa"/>
            <w:vAlign w:val="bottom"/>
          </w:tcPr>
          <w:p>
            <w:pPr>
              <w:jc w:val="center"/>
              <w:spacing w:after="0" w:line="155" w:lineRule="exact"/>
              <w:rPr>
                <w:sz w:val="20"/>
                <w:szCs w:val="20"/>
                <w:color w:val="auto"/>
              </w:rPr>
            </w:pPr>
            <w:r>
              <w:rPr>
                <w:rFonts w:ascii="Arial" w:cs="Arial" w:eastAsia="Arial" w:hAnsi="Arial"/>
                <w:sz w:val="14"/>
                <w:szCs w:val="14"/>
                <w:color w:val="auto"/>
              </w:rPr>
              <w:t>8-K</w:t>
            </w:r>
          </w:p>
        </w:tc>
        <w:tc>
          <w:tcPr>
            <w:tcW w:w="1040" w:type="dxa"/>
            <w:vAlign w:val="bottom"/>
          </w:tcPr>
          <w:p>
            <w:pPr>
              <w:jc w:val="center"/>
              <w:spacing w:after="0" w:line="155" w:lineRule="exact"/>
              <w:rPr>
                <w:sz w:val="20"/>
                <w:szCs w:val="20"/>
                <w:color w:val="auto"/>
              </w:rPr>
            </w:pPr>
            <w:r>
              <w:rPr>
                <w:rFonts w:ascii="Arial" w:cs="Arial" w:eastAsia="Arial" w:hAnsi="Arial"/>
                <w:sz w:val="14"/>
                <w:szCs w:val="14"/>
                <w:color w:val="auto"/>
                <w:w w:val="92"/>
              </w:rPr>
              <w:t>001-39314</w:t>
            </w:r>
          </w:p>
        </w:tc>
        <w:tc>
          <w:tcPr>
            <w:tcW w:w="760" w:type="dxa"/>
            <w:vAlign w:val="bottom"/>
          </w:tcPr>
          <w:p>
            <w:pPr>
              <w:spacing w:after="0"/>
              <w:rPr>
                <w:sz w:val="13"/>
                <w:szCs w:val="13"/>
                <w:color w:val="auto"/>
              </w:rPr>
            </w:pPr>
          </w:p>
        </w:tc>
        <w:tc>
          <w:tcPr>
            <w:tcW w:w="640" w:type="dxa"/>
            <w:vAlign w:val="bottom"/>
          </w:tcPr>
          <w:p>
            <w:pPr>
              <w:jc w:val="center"/>
              <w:spacing w:after="0" w:line="155" w:lineRule="exact"/>
              <w:rPr>
                <w:sz w:val="20"/>
                <w:szCs w:val="20"/>
                <w:color w:val="auto"/>
              </w:rPr>
            </w:pPr>
            <w:r>
              <w:rPr>
                <w:rFonts w:ascii="Arial" w:cs="Arial" w:eastAsia="Arial" w:hAnsi="Arial"/>
                <w:sz w:val="14"/>
                <w:szCs w:val="14"/>
                <w:color w:val="auto"/>
                <w:w w:val="94"/>
              </w:rPr>
              <w:t>6/23/21</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40" w:type="dxa"/>
            <w:vAlign w:val="bottom"/>
            <w:gridSpan w:val="1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80" w:type="dxa"/>
            <w:vAlign w:val="bottom"/>
            <w:gridSpan w:val="4"/>
          </w:tcPr>
          <w:p>
            <w:pPr>
              <w:spacing w:after="0" w:line="142" w:lineRule="exact"/>
              <w:rPr>
                <w:rFonts w:ascii="Arial" w:cs="Arial" w:eastAsia="Arial" w:hAnsi="Arial"/>
                <w:sz w:val="14"/>
                <w:szCs w:val="14"/>
                <w:color w:val="0000FF"/>
                <w:w w:val="95"/>
              </w:rPr>
            </w:pPr>
            <w:hyperlink w:anchor="page176">
              <w:r>
                <w:rPr>
                  <w:rFonts w:ascii="Arial" w:cs="Arial" w:eastAsia="Arial" w:hAnsi="Arial"/>
                  <w:sz w:val="14"/>
                  <w:szCs w:val="14"/>
                  <w:color w:val="0000FF"/>
                  <w:w w:val="95"/>
                </w:rPr>
                <w:t>23.</w:t>
              </w:r>
              <w:r>
                <w:rPr>
                  <w:rFonts w:ascii="Arial" w:cs="Arial" w:eastAsia="Arial" w:hAnsi="Arial"/>
                  <w:sz w:val="14"/>
                  <w:szCs w:val="14"/>
                  <w:u w:val="single" w:color="auto"/>
                  <w:color w:val="0000FF"/>
                  <w:w w:val="95"/>
                </w:rPr>
                <w:t>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42" w:lineRule="exact"/>
              <w:rPr>
                <w:rFonts w:ascii="Arial" w:cs="Arial" w:eastAsia="Arial" w:hAnsi="Arial"/>
                <w:sz w:val="14"/>
                <w:szCs w:val="14"/>
                <w:color w:val="0000FF"/>
                <w:w w:val="95"/>
              </w:rPr>
            </w:pPr>
            <w:hyperlink w:anchor="page176">
              <w:r>
                <w:rPr>
                  <w:rFonts w:ascii="Arial" w:cs="Arial" w:eastAsia="Arial" w:hAnsi="Arial"/>
                  <w:sz w:val="14"/>
                  <w:szCs w:val="14"/>
                  <w:color w:val="0000FF"/>
                  <w:w w:val="95"/>
                </w:rPr>
                <w:t>Consent of Kost Forer Gabbay &amp; Kasierer, a member of Ernst &amp; Young Global, Independent Registered</w:t>
              </w:r>
            </w:hyperlink>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20" w:type="dxa"/>
            <w:vAlign w:val="bottom"/>
            <w:gridSpan w:val="1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16"/>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0" w:type="dxa"/>
            <w:vAlign w:val="bottom"/>
            <w:gridSpan w:val="5"/>
            <w:vMerge w:val="restart"/>
          </w:tcPr>
          <w:p>
            <w:pPr>
              <w:ind w:left="20"/>
              <w:spacing w:after="0"/>
              <w:rPr>
                <w:rFonts w:ascii="Arial" w:cs="Arial" w:eastAsia="Arial" w:hAnsi="Arial"/>
                <w:sz w:val="14"/>
                <w:szCs w:val="14"/>
                <w:color w:val="0000FF"/>
                <w:w w:val="95"/>
              </w:rPr>
            </w:pPr>
            <w:hyperlink w:anchor="page177">
              <w:r>
                <w:rPr>
                  <w:rFonts w:ascii="Arial" w:cs="Arial" w:eastAsia="Arial" w:hAnsi="Arial"/>
                  <w:sz w:val="14"/>
                  <w:szCs w:val="14"/>
                  <w:color w:val="0000FF"/>
                  <w:w w:val="95"/>
                </w:rPr>
                <w:t>31.</w:t>
              </w:r>
              <w:r>
                <w:rPr>
                  <w:rFonts w:ascii="Arial" w:cs="Arial" w:eastAsia="Arial" w:hAnsi="Arial"/>
                  <w:sz w:val="14"/>
                  <w:szCs w:val="14"/>
                  <w:u w:val="single" w:color="auto"/>
                  <w:color w:val="0000FF"/>
                  <w:w w:val="95"/>
                </w:rPr>
                <w:t>1</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Borders>
              <w:bottom w:val="single" w:sz="8" w:color="0000FF"/>
            </w:tcBorders>
            <w:gridSpan w:val="6"/>
          </w:tcPr>
          <w:p>
            <w:pPr>
              <w:spacing w:after="0" w:line="129" w:lineRule="exact"/>
              <w:rPr>
                <w:rFonts w:ascii="Arial" w:cs="Arial" w:eastAsia="Arial" w:hAnsi="Arial"/>
                <w:sz w:val="14"/>
                <w:szCs w:val="14"/>
                <w:color w:val="0000FF"/>
                <w:w w:val="95"/>
              </w:rPr>
            </w:pPr>
            <w:hyperlink w:anchor="page176">
              <w:r>
                <w:rPr>
                  <w:rFonts w:ascii="Arial" w:cs="Arial" w:eastAsia="Arial" w:hAnsi="Arial"/>
                  <w:sz w:val="14"/>
                  <w:szCs w:val="14"/>
                  <w:color w:val="0000FF"/>
                  <w:w w:val="95"/>
                </w:rPr>
                <w:t>Public Accounting Firm.</w:t>
              </w:r>
            </w:hyperlink>
          </w:p>
        </w:tc>
        <w:tc>
          <w:tcPr>
            <w:tcW w:w="20" w:type="dxa"/>
            <w:vAlign w:val="bottom"/>
            <w:tcBorders>
              <w:bottom w:val="single" w:sz="8" w:color="0000EE"/>
            </w:tcBorders>
          </w:tcPr>
          <w:p>
            <w:pPr>
              <w:spacing w:after="0"/>
              <w:rPr>
                <w:sz w:val="11"/>
                <w:szCs w:val="11"/>
                <w:color w:val="auto"/>
              </w:rPr>
            </w:pPr>
          </w:p>
        </w:tc>
        <w:tc>
          <w:tcPr>
            <w:tcW w:w="4580" w:type="dxa"/>
            <w:vAlign w:val="bottom"/>
            <w:gridSpan w:val="33"/>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42"/>
        </w:trPr>
        <w:tc>
          <w:tcPr>
            <w:tcW w:w="3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40" w:type="dxa"/>
            <w:vAlign w:val="bottom"/>
            <w:gridSpan w:val="41"/>
          </w:tcPr>
          <w:p>
            <w:pPr>
              <w:spacing w:after="0" w:line="129" w:lineRule="exact"/>
              <w:rPr>
                <w:rFonts w:ascii="Arial" w:cs="Arial" w:eastAsia="Arial" w:hAnsi="Arial"/>
                <w:sz w:val="14"/>
                <w:szCs w:val="14"/>
                <w:color w:val="0000FF"/>
              </w:rPr>
            </w:pPr>
            <w:hyperlink w:anchor="page177">
              <w:r>
                <w:rPr>
                  <w:rFonts w:ascii="Arial" w:cs="Arial" w:eastAsia="Arial" w:hAnsi="Arial"/>
                  <w:sz w:val="14"/>
                  <w:szCs w:val="14"/>
                  <w:color w:val="0000FF"/>
                </w:rPr>
                <w:t>Certification of Chief Executive Officer pursuant to Rule 13a-14(a)/15d-14(a).</w:t>
              </w:r>
            </w:hyperlink>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gridSpan w:val="2"/>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2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60" w:type="dxa"/>
            <w:vAlign w:val="bottom"/>
            <w:tcBorders>
              <w:left w:val="single" w:sz="8" w:color="0000FF"/>
            </w:tcBorders>
            <w:gridSpan w:val="1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vMerge w:val="restart"/>
          </w:tcPr>
          <w:p>
            <w:pPr>
              <w:jc w:val="center"/>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80" w:type="dxa"/>
            <w:vAlign w:val="bottom"/>
            <w:gridSpan w:val="4"/>
          </w:tcPr>
          <w:p>
            <w:pPr>
              <w:spacing w:after="0" w:line="142" w:lineRule="exact"/>
              <w:rPr>
                <w:rFonts w:ascii="Arial" w:cs="Arial" w:eastAsia="Arial" w:hAnsi="Arial"/>
                <w:sz w:val="14"/>
                <w:szCs w:val="14"/>
                <w:color w:val="0000FF"/>
                <w:w w:val="95"/>
              </w:rPr>
            </w:pPr>
            <w:hyperlink w:anchor="page178">
              <w:r>
                <w:rPr>
                  <w:rFonts w:ascii="Arial" w:cs="Arial" w:eastAsia="Arial" w:hAnsi="Arial"/>
                  <w:sz w:val="14"/>
                  <w:szCs w:val="14"/>
                  <w:color w:val="0000FF"/>
                  <w:w w:val="95"/>
                </w:rPr>
                <w:t>31.</w:t>
              </w:r>
              <w:r>
                <w:rPr>
                  <w:rFonts w:ascii="Arial" w:cs="Arial" w:eastAsia="Arial" w:hAnsi="Arial"/>
                  <w:sz w:val="14"/>
                  <w:szCs w:val="14"/>
                  <w:u w:val="single" w:color="auto"/>
                  <w:color w:val="0000FF"/>
                  <w:w w:val="95"/>
                </w:rPr>
                <w:t>2</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42" w:lineRule="exact"/>
              <w:rPr>
                <w:rFonts w:ascii="Arial" w:cs="Arial" w:eastAsia="Arial" w:hAnsi="Arial"/>
                <w:sz w:val="14"/>
                <w:szCs w:val="14"/>
                <w:color w:val="0000FF"/>
              </w:rPr>
            </w:pPr>
            <w:hyperlink w:anchor="page178">
              <w:r>
                <w:rPr>
                  <w:rFonts w:ascii="Arial" w:cs="Arial" w:eastAsia="Arial" w:hAnsi="Arial"/>
                  <w:sz w:val="14"/>
                  <w:szCs w:val="14"/>
                  <w:color w:val="0000FF"/>
                </w:rPr>
                <w:t>Certification of Chief Financial Officer pursuant to Rule 13a-14(a)/15d-14(a).</w:t>
              </w:r>
            </w:hyperlink>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2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60" w:type="dxa"/>
            <w:vAlign w:val="bottom"/>
            <w:gridSpan w:val="1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vMerge w:val="restart"/>
          </w:tcPr>
          <w:p>
            <w:pPr>
              <w:jc w:val="center"/>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80" w:type="dxa"/>
            <w:vAlign w:val="bottom"/>
            <w:gridSpan w:val="4"/>
          </w:tcPr>
          <w:p>
            <w:pPr>
              <w:spacing w:after="0" w:line="142" w:lineRule="exact"/>
              <w:rPr>
                <w:rFonts w:ascii="Arial" w:cs="Arial" w:eastAsia="Arial" w:hAnsi="Arial"/>
                <w:sz w:val="14"/>
                <w:szCs w:val="14"/>
                <w:color w:val="0000FF"/>
                <w:w w:val="95"/>
              </w:rPr>
            </w:pPr>
            <w:hyperlink w:anchor="page179">
              <w:r>
                <w:rPr>
                  <w:rFonts w:ascii="Arial" w:cs="Arial" w:eastAsia="Arial" w:hAnsi="Arial"/>
                  <w:sz w:val="14"/>
                  <w:szCs w:val="14"/>
                  <w:color w:val="0000FF"/>
                  <w:w w:val="95"/>
                </w:rPr>
                <w:t>32.</w:t>
              </w:r>
              <w:r>
                <w:rPr>
                  <w:rFonts w:ascii="Arial" w:cs="Arial" w:eastAsia="Arial" w:hAnsi="Arial"/>
                  <w:sz w:val="14"/>
                  <w:szCs w:val="14"/>
                  <w:u w:val="single" w:color="auto"/>
                  <w:color w:val="0000FF"/>
                  <w:w w:val="95"/>
                </w:rPr>
                <w:t>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42" w:lineRule="exact"/>
              <w:rPr>
                <w:rFonts w:ascii="Arial" w:cs="Arial" w:eastAsia="Arial" w:hAnsi="Arial"/>
                <w:sz w:val="14"/>
                <w:szCs w:val="14"/>
                <w:color w:val="0000FF"/>
              </w:rPr>
            </w:pPr>
            <w:hyperlink w:anchor="page179">
              <w:r>
                <w:rPr>
                  <w:rFonts w:ascii="Arial" w:cs="Arial" w:eastAsia="Arial" w:hAnsi="Arial"/>
                  <w:sz w:val="14"/>
                  <w:szCs w:val="14"/>
                  <w:color w:val="0000FF"/>
                </w:rPr>
                <w:t>Certification of Chief Executive Officer pursuant to 18 U.S.C. Section 1350.</w:t>
              </w:r>
            </w:hyperlink>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22"/>
            <w:shd w:val="clear" w:color="auto" w:fill="0000FF"/>
          </w:tcPr>
          <w:p>
            <w:pPr>
              <w:spacing w:after="0" w:line="20" w:lineRule="exact"/>
              <w:rPr>
                <w:sz w:val="1"/>
                <w:szCs w:val="1"/>
                <w:color w:val="auto"/>
              </w:rPr>
            </w:pPr>
          </w:p>
        </w:tc>
        <w:tc>
          <w:tcPr>
            <w:tcW w:w="1780" w:type="dxa"/>
            <w:vAlign w:val="bottom"/>
            <w:tcBorders>
              <w:left w:val="single" w:sz="8" w:color="0000FF"/>
            </w:tcBorders>
            <w:gridSpan w:val="1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vMerge w:val="restart"/>
          </w:tcPr>
          <w:p>
            <w:pPr>
              <w:jc w:val="center"/>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gridSpan w:val="4"/>
          </w:tcPr>
          <w:p>
            <w:pPr>
              <w:spacing w:after="0" w:line="142" w:lineRule="exact"/>
              <w:rPr>
                <w:rFonts w:ascii="Arial" w:cs="Arial" w:eastAsia="Arial" w:hAnsi="Arial"/>
                <w:sz w:val="14"/>
                <w:szCs w:val="14"/>
                <w:color w:val="0000FF"/>
                <w:w w:val="95"/>
              </w:rPr>
            </w:pPr>
            <w:hyperlink w:anchor="page180">
              <w:r>
                <w:rPr>
                  <w:rFonts w:ascii="Arial" w:cs="Arial" w:eastAsia="Arial" w:hAnsi="Arial"/>
                  <w:sz w:val="14"/>
                  <w:szCs w:val="14"/>
                  <w:color w:val="0000FF"/>
                  <w:w w:val="95"/>
                </w:rPr>
                <w:t>32.</w:t>
              </w:r>
              <w:r>
                <w:rPr>
                  <w:rFonts w:ascii="Arial" w:cs="Arial" w:eastAsia="Arial" w:hAnsi="Arial"/>
                  <w:sz w:val="14"/>
                  <w:szCs w:val="14"/>
                  <w:u w:val="single" w:color="auto"/>
                  <w:color w:val="0000FF"/>
                  <w:w w:val="95"/>
                </w:rPr>
                <w:t>2</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42" w:lineRule="exact"/>
              <w:rPr>
                <w:rFonts w:ascii="Arial" w:cs="Arial" w:eastAsia="Arial" w:hAnsi="Arial"/>
                <w:sz w:val="14"/>
                <w:szCs w:val="14"/>
                <w:color w:val="0000FF"/>
              </w:rPr>
            </w:pPr>
            <w:hyperlink w:anchor="page180">
              <w:r>
                <w:rPr>
                  <w:rFonts w:ascii="Arial" w:cs="Arial" w:eastAsia="Arial" w:hAnsi="Arial"/>
                  <w:sz w:val="14"/>
                  <w:szCs w:val="14"/>
                  <w:color w:val="0000FF"/>
                </w:rPr>
                <w:t>Certification of Chief Financial Officer pursuant to 18 U.S.C. Section 1350.</w:t>
              </w:r>
            </w:hyperlink>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22"/>
            <w:shd w:val="clear" w:color="auto" w:fill="0000FF"/>
          </w:tcPr>
          <w:p>
            <w:pPr>
              <w:spacing w:after="0" w:line="20" w:lineRule="exact"/>
              <w:rPr>
                <w:sz w:val="1"/>
                <w:szCs w:val="1"/>
                <w:color w:val="auto"/>
              </w:rPr>
            </w:pPr>
          </w:p>
        </w:tc>
        <w:tc>
          <w:tcPr>
            <w:tcW w:w="1780" w:type="dxa"/>
            <w:vAlign w:val="bottom"/>
            <w:gridSpan w:val="1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vMerge w:val="restart"/>
          </w:tcPr>
          <w:p>
            <w:pPr>
              <w:jc w:val="center"/>
              <w:spacing w:after="0" w:line="17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8"/>
          </w:tcPr>
          <w:p>
            <w:pPr>
              <w:spacing w:after="0" w:line="155" w:lineRule="exact"/>
              <w:rPr>
                <w:sz w:val="20"/>
                <w:szCs w:val="20"/>
                <w:color w:val="auto"/>
              </w:rPr>
            </w:pPr>
            <w:r>
              <w:rPr>
                <w:rFonts w:ascii="Arial" w:cs="Arial" w:eastAsia="Arial" w:hAnsi="Arial"/>
                <w:sz w:val="14"/>
                <w:szCs w:val="14"/>
                <w:color w:val="auto"/>
              </w:rPr>
              <w:t>101.INS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55" w:lineRule="exact"/>
              <w:rPr>
                <w:sz w:val="20"/>
                <w:szCs w:val="20"/>
                <w:color w:val="auto"/>
              </w:rPr>
            </w:pPr>
            <w:r>
              <w:rPr>
                <w:rFonts w:ascii="Arial" w:cs="Arial" w:eastAsia="Arial" w:hAnsi="Arial"/>
                <w:sz w:val="14"/>
                <w:szCs w:val="14"/>
                <w:color w:val="auto"/>
                <w:w w:val="97"/>
              </w:rPr>
              <w:t>Inline XBRL Instance Document – the instance document does not appear in the Interactive Data File</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gridSpan w:val="41"/>
          </w:tcPr>
          <w:p>
            <w:pPr>
              <w:spacing w:after="0" w:line="157" w:lineRule="exact"/>
              <w:rPr>
                <w:sz w:val="20"/>
                <w:szCs w:val="20"/>
                <w:color w:val="auto"/>
              </w:rPr>
            </w:pPr>
            <w:r>
              <w:rPr>
                <w:rFonts w:ascii="Arial" w:cs="Arial" w:eastAsia="Arial" w:hAnsi="Arial"/>
                <w:sz w:val="14"/>
                <w:szCs w:val="14"/>
                <w:color w:val="auto"/>
              </w:rPr>
              <w:t>because XBRL tags are embedded within the Inline XBRL document.</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8"/>
          </w:tcPr>
          <w:p>
            <w:pPr>
              <w:spacing w:after="0"/>
              <w:rPr>
                <w:sz w:val="20"/>
                <w:szCs w:val="20"/>
                <w:color w:val="auto"/>
              </w:rPr>
            </w:pPr>
            <w:r>
              <w:rPr>
                <w:rFonts w:ascii="Arial" w:cs="Arial" w:eastAsia="Arial" w:hAnsi="Arial"/>
                <w:sz w:val="14"/>
                <w:szCs w:val="14"/>
                <w:color w:val="auto"/>
              </w:rPr>
              <w:t>101.SCH</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40" w:type="dxa"/>
            <w:vAlign w:val="bottom"/>
            <w:gridSpan w:val="41"/>
          </w:tcPr>
          <w:p>
            <w:pPr>
              <w:spacing w:after="0"/>
              <w:rPr>
                <w:sz w:val="20"/>
                <w:szCs w:val="20"/>
                <w:color w:val="auto"/>
              </w:rPr>
            </w:pPr>
            <w:r>
              <w:rPr>
                <w:rFonts w:ascii="Arial" w:cs="Arial" w:eastAsia="Arial" w:hAnsi="Arial"/>
                <w:sz w:val="14"/>
                <w:szCs w:val="14"/>
                <w:color w:val="auto"/>
              </w:rPr>
              <w:t>Inline XBRL Taxonomy Extension Schema Document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8"/>
          </w:tcPr>
          <w:p>
            <w:pPr>
              <w:spacing w:after="0"/>
              <w:rPr>
                <w:sz w:val="20"/>
                <w:szCs w:val="20"/>
                <w:color w:val="auto"/>
              </w:rPr>
            </w:pPr>
            <w:r>
              <w:rPr>
                <w:rFonts w:ascii="Arial" w:cs="Arial" w:eastAsia="Arial" w:hAnsi="Arial"/>
                <w:sz w:val="14"/>
                <w:szCs w:val="14"/>
                <w:color w:val="auto"/>
              </w:rPr>
              <w:t>101.CAL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41"/>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bl>
      <w:tblPr>
        <w:tblLayout w:type="fixed"/>
        <w:tblInd w:w="0" w:type="dxa"/>
        <w:tblCellMar>
          <w:top w:w="0" w:type="dxa"/>
          <w:left w:w="0" w:type="dxa"/>
          <w:bottom w:w="0" w:type="dxa"/>
          <w:right w:w="0" w:type="dxa"/>
        </w:tblCellMar>
      </w:tblPr>
      <w:tr>
        <w:trPr>
          <w:trHeight w:val="40"/>
        </w:trPr>
        <w:tc>
          <w:tcPr>
            <w:tcW w:w="70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6680" w:type="dxa"/>
            <w:vAlign w:val="bottom"/>
          </w:tcPr>
          <w:p>
            <w:pPr>
              <w:spacing w:after="0"/>
              <w:rPr>
                <w:sz w:val="3"/>
                <w:szCs w:val="3"/>
                <w:color w:val="auto"/>
              </w:rPr>
            </w:pPr>
          </w:p>
        </w:tc>
        <w:tc>
          <w:tcPr>
            <w:tcW w:w="2740" w:type="dxa"/>
            <w:vAlign w:val="bottom"/>
            <w:vMerge w:val="restart"/>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35"/>
        </w:trPr>
        <w:tc>
          <w:tcPr>
            <w:tcW w:w="700" w:type="dxa"/>
            <w:vAlign w:val="bottom"/>
          </w:tcPr>
          <w:p>
            <w:pPr>
              <w:ind w:left="20"/>
              <w:spacing w:after="0" w:line="135" w:lineRule="exact"/>
              <w:rPr>
                <w:sz w:val="20"/>
                <w:szCs w:val="20"/>
                <w:color w:val="auto"/>
              </w:rPr>
            </w:pPr>
            <w:r>
              <w:rPr>
                <w:rFonts w:ascii="Arial" w:cs="Arial" w:eastAsia="Arial" w:hAnsi="Arial"/>
                <w:sz w:val="14"/>
                <w:szCs w:val="14"/>
                <w:color w:val="auto"/>
              </w:rPr>
              <w:t>101.DEF</w:t>
            </w:r>
          </w:p>
        </w:tc>
        <w:tc>
          <w:tcPr>
            <w:tcW w:w="726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Inline XBRL Taxonomy Extension Definition Linkbase Document</w:t>
            </w:r>
          </w:p>
        </w:tc>
        <w:tc>
          <w:tcPr>
            <w:tcW w:w="2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00" w:type="dxa"/>
            <w:vAlign w:val="bottom"/>
          </w:tcPr>
          <w:p>
            <w:pPr>
              <w:ind w:left="20"/>
              <w:spacing w:after="0"/>
              <w:rPr>
                <w:sz w:val="20"/>
                <w:szCs w:val="20"/>
                <w:color w:val="auto"/>
              </w:rPr>
            </w:pPr>
            <w:r>
              <w:rPr>
                <w:rFonts w:ascii="Arial" w:cs="Arial" w:eastAsia="Arial" w:hAnsi="Arial"/>
                <w:sz w:val="14"/>
                <w:szCs w:val="14"/>
                <w:color w:val="auto"/>
              </w:rPr>
              <w:t>101.LAB</w:t>
            </w:r>
          </w:p>
        </w:tc>
        <w:tc>
          <w:tcPr>
            <w:tcW w:w="7260" w:type="dxa"/>
            <w:vAlign w:val="bottom"/>
            <w:gridSpan w:val="2"/>
          </w:tcPr>
          <w:p>
            <w:pPr>
              <w:ind w:left="140"/>
              <w:spacing w:after="0"/>
              <w:rPr>
                <w:sz w:val="20"/>
                <w:szCs w:val="20"/>
                <w:color w:val="auto"/>
              </w:rPr>
            </w:pPr>
            <w:r>
              <w:rPr>
                <w:rFonts w:ascii="Arial" w:cs="Arial" w:eastAsia="Arial" w:hAnsi="Arial"/>
                <w:sz w:val="14"/>
                <w:szCs w:val="14"/>
                <w:color w:val="auto"/>
              </w:rPr>
              <w:t>Inline XBRL Taxonomy Extension Label Linkbase Document</w:t>
            </w:r>
          </w:p>
        </w:tc>
        <w:tc>
          <w:tcPr>
            <w:tcW w:w="27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6"/>
        </w:trPr>
        <w:tc>
          <w:tcPr>
            <w:tcW w:w="700" w:type="dxa"/>
            <w:vAlign w:val="bottom"/>
          </w:tcPr>
          <w:p>
            <w:pPr>
              <w:ind w:left="20"/>
              <w:spacing w:after="0"/>
              <w:rPr>
                <w:sz w:val="20"/>
                <w:szCs w:val="20"/>
                <w:color w:val="auto"/>
              </w:rPr>
            </w:pPr>
            <w:r>
              <w:rPr>
                <w:rFonts w:ascii="Arial" w:cs="Arial" w:eastAsia="Arial" w:hAnsi="Arial"/>
                <w:sz w:val="14"/>
                <w:szCs w:val="14"/>
                <w:color w:val="auto"/>
              </w:rPr>
              <w:t>101.PRE</w:t>
            </w:r>
          </w:p>
        </w:tc>
        <w:tc>
          <w:tcPr>
            <w:tcW w:w="7260" w:type="dxa"/>
            <w:vAlign w:val="bottom"/>
            <w:gridSpan w:val="2"/>
          </w:tcPr>
          <w:p>
            <w:pPr>
              <w:ind w:left="140"/>
              <w:spacing w:after="0"/>
              <w:rPr>
                <w:sz w:val="20"/>
                <w:szCs w:val="20"/>
                <w:color w:val="auto"/>
              </w:rPr>
            </w:pPr>
            <w:r>
              <w:rPr>
                <w:rFonts w:ascii="Arial" w:cs="Arial" w:eastAsia="Arial" w:hAnsi="Arial"/>
                <w:sz w:val="14"/>
                <w:szCs w:val="14"/>
                <w:color w:val="auto"/>
              </w:rPr>
              <w:t>Inline XBRL Taxonomy Extension Presentation Linkbase Document</w:t>
            </w:r>
          </w:p>
        </w:tc>
        <w:tc>
          <w:tcPr>
            <w:tcW w:w="27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2"/>
        </w:trPr>
        <w:tc>
          <w:tcPr>
            <w:tcW w:w="700" w:type="dxa"/>
            <w:vAlign w:val="bottom"/>
          </w:tcPr>
          <w:p>
            <w:pPr>
              <w:ind w:left="20"/>
              <w:spacing w:after="0"/>
              <w:rPr>
                <w:sz w:val="20"/>
                <w:szCs w:val="20"/>
                <w:color w:val="auto"/>
              </w:rPr>
            </w:pPr>
            <w:r>
              <w:rPr>
                <w:rFonts w:ascii="Arial" w:cs="Arial" w:eastAsia="Arial" w:hAnsi="Arial"/>
                <w:sz w:val="14"/>
                <w:szCs w:val="14"/>
                <w:color w:val="auto"/>
              </w:rPr>
              <w:t>104</w:t>
            </w:r>
          </w:p>
        </w:tc>
        <w:tc>
          <w:tcPr>
            <w:tcW w:w="7260" w:type="dxa"/>
            <w:vAlign w:val="bottom"/>
            <w:gridSpan w:val="2"/>
          </w:tcPr>
          <w:p>
            <w:pPr>
              <w:ind w:left="140"/>
              <w:spacing w:after="0"/>
              <w:rPr>
                <w:sz w:val="20"/>
                <w:szCs w:val="20"/>
                <w:color w:val="auto"/>
              </w:rPr>
            </w:pPr>
            <w:r>
              <w:rPr>
                <w:rFonts w:ascii="Arial" w:cs="Arial" w:eastAsia="Arial" w:hAnsi="Arial"/>
                <w:sz w:val="14"/>
                <w:szCs w:val="14"/>
                <w:color w:val="auto"/>
              </w:rPr>
              <w:t>Cover Page Interactive Data File (as formatted as Inline XBRL and contained</w:t>
            </w:r>
          </w:p>
        </w:tc>
        <w:tc>
          <w:tcPr>
            <w:tcW w:w="27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260" w:type="dxa"/>
            <w:vAlign w:val="bottom"/>
            <w:gridSpan w:val="2"/>
          </w:tcPr>
          <w:p>
            <w:pPr>
              <w:ind w:left="140"/>
              <w:spacing w:after="0"/>
              <w:rPr>
                <w:sz w:val="20"/>
                <w:szCs w:val="20"/>
                <w:color w:val="auto"/>
              </w:rPr>
            </w:pPr>
            <w:r>
              <w:rPr>
                <w:rFonts w:ascii="Arial" w:cs="Arial" w:eastAsia="Arial" w:hAnsi="Arial"/>
                <w:sz w:val="14"/>
                <w:szCs w:val="14"/>
                <w:color w:val="auto"/>
              </w:rPr>
              <w:t>in Exhibit 101).</w:t>
            </w: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4230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6"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71"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8"/>
          <w:szCs w:val="18"/>
          <w:color w:val="auto"/>
        </w:rPr>
      </w:pPr>
      <w:r>
        <w:rPr>
          <w:rFonts w:ascii="Arial" w:cs="Arial" w:eastAsia="Arial" w:hAnsi="Arial"/>
          <w:sz w:val="14"/>
          <w:szCs w:val="14"/>
          <w:color w:val="auto"/>
        </w:rPr>
        <w:t>Indicates management contract or compensatory plan.</w:t>
      </w:r>
    </w:p>
    <w:p>
      <w:pPr>
        <w:spacing w:after="0" w:line="34" w:lineRule="exact"/>
        <w:rPr>
          <w:sz w:val="20"/>
          <w:szCs w:val="20"/>
          <w:color w:val="auto"/>
        </w:rPr>
      </w:pPr>
    </w:p>
    <w:p>
      <w:pPr>
        <w:ind w:left="220" w:right="2160" w:hanging="212"/>
        <w:spacing w:after="0" w:line="273" w:lineRule="auto"/>
        <w:tabs>
          <w:tab w:leader="none" w:pos="229" w:val="left"/>
        </w:tabs>
        <w:numPr>
          <w:ilvl w:val="0"/>
          <w:numId w:val="73"/>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The Registrant agrees to furnish supplementally a copy of any omitted schedule or exhibit to the SEC upon request.</w:t>
      </w:r>
    </w:p>
    <w:p>
      <w:pPr>
        <w:spacing w:after="0" w:line="200" w:lineRule="exact"/>
        <w:rPr>
          <w:sz w:val="20"/>
          <w:szCs w:val="20"/>
          <w:color w:val="auto"/>
        </w:rPr>
      </w:pPr>
    </w:p>
    <w:p>
      <w:pPr>
        <w:spacing w:after="0" w:line="23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08" w:right="87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40" w:type="dxa"/>
            <w:vAlign w:val="bottom"/>
            <w:gridSpan w:val="3"/>
          </w:tcPr>
          <w:p>
            <w:pPr>
              <w:ind w:left="1840"/>
              <w:spacing w:after="0"/>
              <w:rPr>
                <w:sz w:val="20"/>
                <w:szCs w:val="20"/>
                <w:color w:val="auto"/>
              </w:rPr>
            </w:pPr>
            <w:r>
              <w:rPr>
                <w:rFonts w:ascii="Arial" w:cs="Arial" w:eastAsia="Arial" w:hAnsi="Arial"/>
                <w:sz w:val="18"/>
                <w:szCs w:val="18"/>
                <w:color w:val="auto"/>
              </w:rPr>
              <w:t>TALKSPACE, INC.</w:t>
            </w:r>
          </w:p>
        </w:tc>
      </w:tr>
      <w:tr>
        <w:trPr>
          <w:trHeight w:val="351"/>
        </w:trPr>
        <w:tc>
          <w:tcPr>
            <w:tcW w:w="3580" w:type="dxa"/>
            <w:vAlign w:val="bottom"/>
          </w:tcPr>
          <w:p>
            <w:pPr>
              <w:spacing w:after="0"/>
              <w:rPr>
                <w:sz w:val="20"/>
                <w:szCs w:val="20"/>
                <w:color w:val="auto"/>
              </w:rPr>
            </w:pPr>
            <w:r>
              <w:rPr>
                <w:rFonts w:ascii="Arial" w:cs="Arial" w:eastAsia="Arial" w:hAnsi="Arial"/>
                <w:sz w:val="18"/>
                <w:szCs w:val="18"/>
                <w:color w:val="auto"/>
              </w:rPr>
              <w:t>Date: February 25, 2022</w:t>
            </w:r>
          </w:p>
        </w:tc>
        <w:tc>
          <w:tcPr>
            <w:tcW w:w="246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Braunstein</w:t>
            </w:r>
          </w:p>
        </w:tc>
      </w:tr>
      <w:tr>
        <w:trPr>
          <w:trHeight w:val="151"/>
        </w:trPr>
        <w:tc>
          <w:tcPr>
            <w:tcW w:w="3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Pr>
          <w:p>
            <w:pPr>
              <w:spacing w:after="0" w:line="150" w:lineRule="exact"/>
              <w:rPr>
                <w:sz w:val="20"/>
                <w:szCs w:val="20"/>
                <w:color w:val="auto"/>
              </w:rPr>
            </w:pPr>
            <w:r>
              <w:rPr>
                <w:rFonts w:ascii="Arial" w:cs="Arial" w:eastAsia="Arial" w:hAnsi="Arial"/>
                <w:sz w:val="17"/>
                <w:szCs w:val="17"/>
                <w:b w:val="1"/>
                <w:bCs w:val="1"/>
                <w:color w:val="auto"/>
              </w:rPr>
              <w:t>Douglas Braunstein</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Interim Chief Executive Officer</w:t>
            </w:r>
          </w:p>
        </w:tc>
      </w:tr>
      <w:tr>
        <w:trPr>
          <w:trHeight w:val="405"/>
        </w:trPr>
        <w:tc>
          <w:tcPr>
            <w:tcW w:w="3580" w:type="dxa"/>
            <w:vAlign w:val="bottom"/>
          </w:tcPr>
          <w:p>
            <w:pPr>
              <w:spacing w:after="0"/>
              <w:rPr>
                <w:sz w:val="20"/>
                <w:szCs w:val="20"/>
                <w:color w:val="auto"/>
              </w:rPr>
            </w:pPr>
            <w:r>
              <w:rPr>
                <w:rFonts w:ascii="Arial" w:cs="Arial" w:eastAsia="Arial" w:hAnsi="Arial"/>
                <w:sz w:val="18"/>
                <w:szCs w:val="18"/>
                <w:color w:val="auto"/>
              </w:rPr>
              <w:t>Date: February 25, 2022</w:t>
            </w:r>
          </w:p>
        </w:tc>
        <w:tc>
          <w:tcPr>
            <w:tcW w:w="246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/s/ Jennifer Fulk</w:t>
            </w:r>
          </w:p>
        </w:tc>
      </w:tr>
      <w:tr>
        <w:trPr>
          <w:trHeight w:val="151"/>
        </w:trPr>
        <w:tc>
          <w:tcPr>
            <w:tcW w:w="3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180" w:type="dxa"/>
            <w:vAlign w:val="bottom"/>
            <w:tcBorders>
              <w:top w:val="single" w:sz="8" w:color="auto"/>
            </w:tcBorders>
          </w:tcPr>
          <w:p>
            <w:pPr>
              <w:spacing w:after="0" w:line="150" w:lineRule="exact"/>
              <w:rPr>
                <w:sz w:val="20"/>
                <w:szCs w:val="20"/>
                <w:color w:val="auto"/>
              </w:rPr>
            </w:pPr>
            <w:r>
              <w:rPr>
                <w:rFonts w:ascii="Arial" w:cs="Arial" w:eastAsia="Arial" w:hAnsi="Arial"/>
                <w:sz w:val="17"/>
                <w:szCs w:val="17"/>
                <w:b w:val="1"/>
                <w:bCs w:val="1"/>
                <w:color w:val="auto"/>
              </w:rPr>
              <w:t>Jennifer Fulk</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Date</w:t>
            </w:r>
          </w:p>
        </w:tc>
      </w:tr>
      <w:tr>
        <w:trPr>
          <w:trHeight w:val="42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Douglas Braunstein</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Interim Chief Executive Officer and 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February 25, 2022</w:t>
            </w:r>
          </w:p>
        </w:tc>
      </w:tr>
      <w:tr>
        <w:trPr>
          <w:trHeight w:val="21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Douglas Braunstein</w:t>
            </w:r>
          </w:p>
        </w:tc>
        <w:tc>
          <w:tcPr>
            <w:tcW w:w="120" w:type="dxa"/>
            <w:vAlign w:val="bottom"/>
          </w:tcPr>
          <w:p>
            <w:pPr>
              <w:spacing w:after="0"/>
              <w:rPr>
                <w:sz w:val="18"/>
                <w:szCs w:val="18"/>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0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Jennifer Fulk</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February 25, 2022</w:t>
            </w:r>
          </w:p>
        </w:tc>
      </w:tr>
      <w:tr>
        <w:trPr>
          <w:trHeight w:val="21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Jennifer Fulk</w:t>
            </w:r>
          </w:p>
        </w:tc>
        <w:tc>
          <w:tcPr>
            <w:tcW w:w="120" w:type="dxa"/>
            <w:vAlign w:val="bottom"/>
          </w:tcPr>
          <w:p>
            <w:pPr>
              <w:spacing w:after="0"/>
              <w:rPr>
                <w:sz w:val="18"/>
                <w:szCs w:val="18"/>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0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Jeffrey M. Crowe</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February 25,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Jeffrey M. Crowe</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Erez Shachar</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February 25,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Erez Shachar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Curtis Warfield</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February 25,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Curtis Warfield</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Jacqueline Yeaney</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February 25,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Jacqueline Yeaney</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Charles Berg</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February 25,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Charles Berg</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Madhu Pawar</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February 25,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Madhu Pawar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597"/>
        </w:trPr>
        <w:tc>
          <w:tcPr>
            <w:tcW w:w="3720" w:type="dxa"/>
            <w:vAlign w:val="bottom"/>
          </w:tcPr>
          <w:p>
            <w:pPr>
              <w:spacing w:after="0"/>
              <w:rPr>
                <w:sz w:val="24"/>
                <w:szCs w:val="24"/>
                <w:color w:val="auto"/>
              </w:rPr>
            </w:pPr>
          </w:p>
        </w:tc>
        <w:tc>
          <w:tcPr>
            <w:tcW w:w="4980" w:type="dxa"/>
            <w:vAlign w:val="bottom"/>
            <w:gridSpan w:val="2"/>
          </w:tcPr>
          <w:p>
            <w:pPr>
              <w:jc w:val="right"/>
              <w:ind w:right="285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ind w:left="10260"/>
        <w:spacing w:after="0"/>
        <w:rPr>
          <w:sz w:val="20"/>
          <w:szCs w:val="20"/>
          <w:color w:val="auto"/>
        </w:rPr>
      </w:pPr>
      <w:r>
        <w:rPr>
          <w:rFonts w:ascii="Arial" w:cs="Arial" w:eastAsia="Arial" w:hAnsi="Arial"/>
          <w:sz w:val="17"/>
          <w:szCs w:val="17"/>
          <w:color w:val="auto"/>
        </w:rPr>
        <w:t>EXHIBIT 4.4</w:t>
      </w:r>
    </w:p>
    <w:p>
      <w:pPr>
        <w:spacing w:after="0" w:line="206"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 AS AMENDED</w:t>
      </w:r>
    </w:p>
    <w:p>
      <w:pPr>
        <w:spacing w:after="0" w:line="200" w:lineRule="exact"/>
        <w:rPr>
          <w:sz w:val="20"/>
          <w:szCs w:val="20"/>
          <w:color w:val="auto"/>
        </w:rPr>
      </w:pPr>
    </w:p>
    <w:p>
      <w:pPr>
        <w:spacing w:after="0" w:line="37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following description of the capital stock of Talkspace, Inc. (the “Company”, “we”, “us”, and “our”), and certain provisions of our second amended and restated certification of incorporation (the “Certificate of Incorporation”), bylaws (the “Bylaws”) and Warrant Agreement between Hudson Executive Investment Corp. (“HEC”) and Continental Stock Transfer &amp; Trust Company, dated as of June 8, 2020 (the “Warrant Agreement”). is not intended to be a complete summary of the rights and preferences of such securities and is qualified in its entirety by reference to the full text of Certificate of Incorporation, Bylaws and Warrant Agreement, copies of which have been filed with the Securities and Exchange Commission. You are encouraged to read the applicable provisions of Delaware law, the Certificate of Incorporation, the Bylaws and the Warrant Agreement in their entirety for a complete description of the rights and preferences of our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Capitalization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04"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Our Certificate of Incorporation authorizes the issuance of shares of our capital stock, each with a par value of $0.0001, consisting of (a) 1,000,000,000 shares of common stock and (b) 100,000,000 shares of preferred stock. As of February 21, 2022, we had approximately 153,973,930 shares of common stock outstanding and no shares of preferred stock outstanding.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holders of our common stock do not have preemptive or other subscription rights and there is no sinking fund or redemption provisions applicable to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Certificate of Incorporation authorizes 1,000,000 shares of preferred stock and provides that shares of preferred stock may be issued from time to time in one or more series. Our board of directors is authorized to fix the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(the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Except as otherwise required by law or as otherwise provided in any certificate of designation for any series of preferred stock, under the Certificate of Incorporation, the holders of our common stock possess all voting power for the election of directors and all other matters requiring stockholder action and are entitled to one vote per share on matters to be voted on by stockholders. The Bylaws provide that the holders of a majority of the capital stock issued and outstanding and entitled to vote thereat, present in person, or by remote communication, if applicable, or represented by proxy, will constitute a quorum at all meetings of the stockholders for the transaction of business,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When a quorum is present, the affirmative vote of a majority of the votes cast is required to take action, unless otherwise specified by law, the Bylaws or the Certificate of Incorporation, and except for the election of directors, which is determined by a plurality vote. There are no cumulative voting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Each holder of shares of our capital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i w:val="1"/>
          <w:iCs w:val="1"/>
          <w:color w:val="auto"/>
        </w:rPr>
        <w:t>Liquidation Rights</w:t>
      </w:r>
    </w:p>
    <w:p>
      <w:pPr>
        <w:spacing w:after="0" w:line="19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rights of each holder of our common stock are subject to, and may be adversely affected by, the rights of the holders of any series of our preferred stock that we may designate and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Effects of the Certificate of Incorporation and the Bylaws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the board of directors, which we believe may result in an improvement of the terms of any such acquisition in favor of our stockholders. However, they also give the board of directors the power to discourage mergers that some stockholders may favor.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Certificate of Incorporation provides that a special meeting of stockholders may be called by (a) the chairperson of the board of directors, (b) the majority of the board of directors, (c) our Chief Executive Officer or (d) our President, provided that such special meeting may be postponed, rescheduled or cancelled by the board of directors or other person calling the special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Certificate of Incorporation provides that any action required or permitted to be taken by our stockholders must be effected at an annual or special meeting of the stockholders, and may not be taken by written consent in lieu of a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Certificate of Incorporation provides that our board of directors will be divided into three classes of directors, with the classes to be as nearly equal in number as possible, and with each director serving a three-year term. As a result, approximately one-third of our board of directors will be elected each year. The classification of directors will have the effect of making it more difficult for stockholders to change the composition of our board of directors. Our Certificate of Incorporation and Bylaws provide that, subject to any rights of holders of preferred stock to elect additional directors under specified circumstances, the number of directors will be fixed from time to time exclusively pursuant to a resolution adopted by our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board of directors or any individual director may be removed from office at any time, but only for cause and only by the affirmative vote of the holders of at least a majority of the voting power of all of the then outstanding shares of our voting stock entitled to vote at an election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(a) the board of directors of such corporation approves the acquisition of stock or the merger transaction before the time that the person becomes an interested stockholder, (b) the interested stockholder owns at least 85% of the outstanding voting stock of such corporation at the time the merger transaction commences (excluding voting stock owned by directors who are also officers and certain employee stock plans), or (c) the merger transaction is approved by the board of directors and at a meeting of stockholders, not by written consent, by the affirmative vote of at least two-thirds of the outstanding voting stock which is not owned by the interested stockholder. A Delaware corporation may elect in its certificate of incorporation or bylaws not to be governed by this particular Delaware law. Under the Certificate of Incorporation, we have opted out of Section 203 of the DGCL, but the Certificate of Incorporation provides other similar restrictions regarding takeovers by interested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Certificate of Incorporation provides that we are to indemnify our directors to the fullest extent authorized or permitted by applicable law. We have entered and expect to continue to enter into agreements to indemnify our directors, executive officers and other employees as determined by the board of directors. Under the Bylaws, we are required to indemnify each of our directors and officers if the basis of the indemnitee’s involvement was by reason of the fact that the indemnitee is or was our director or officer or was serving at our request as a director, officer, employee or agent for another entity. We must indemnify our officers and directors against all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the Bylaws or the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 and, if brought outside of Delaware, the stockholder bringing the suit will be deemed to have consented to (a) the personal jurisdiction of the state and federal courts in the State of Delaware in connection with any action brought in any such court to enforce the exclusive jurisdiction provisions of the Certificate of Incorporation and (b) service of process on such stockholder’s counsel.</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Section 22 of the Securities Act of 1933, as amended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by the Securities Exchange Act of 1934, as amended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Public warrants are our warrants originally sold as part of the units in the initial public offering by HEC (the “HEC IPO”). As of December 31, 2021, there were 20,700,000 public warrants outstanding. Each whole warrant entitles the registered holder to purchase one share of our common stock at a price of $11.50 per share, subject to adjustment as discussed below, provided that there is an effective registration statement under the Securities Act covering the shares of our common stock issuable upon exercise of the warrants and a current prospectus relating to them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terms of the Warrant Agreement, a warrant holder may exercise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warrants only for a whole number of shares of our common stock. This means only a whole warrant may be exercised at a given time by a warrant holder.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warrants will expire on June 22, 2026 at 5:00 p.m., New York City time, or earlier upon redemption or liquidation.</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not obligated to deliver any shares of our common stock pursuant to the exercise of a warrant and have no obligation to settle such warrant exercise unless a registration statement under the Securities Act covering the issuance of the shares of our common stock issuable upon exercise of the warrants is then effective and a current prospectus relating to those shares of common stock is available, subject to our satisfying our obligations described below with respect to registration. No warrant will be exercisable for cash or on a cashless basis (unless permitted by us in certain circumstances specified in the Warrant Agreement), and we are not be obligated to issue any shares to holders seeking to exercise their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our common stock underlying such unit.</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agreed to use our best efforts to maintain the effectiveness a registration statement covering the issuance, under the Securities Act, of the shares of common stock issuable upon exercise of the warrants, and a current prospectus relating thereto until the expiration of the warrants in accordance with the provisions of the Warrant Agreement. Notwithstanding the above, if we are at the time of any exercise of a warrant not listed on a national securities exchange such that it satisfies the definition of a “covered security” under Section 18(b)(1) of the Securities Act, we may, at our option, require public stockholders who exercise their warrants to do so on a “cashless basis” in accordance with Section 3(a)(9) of the Securities Act and, in the event we so elect, we will not be required to file or maintain in effect a registration statement, but will use our reasonable efforts to qualify the shares under applicable blue sky laws to the extent an exemption is not available.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Redemption of Warrants for Cash. </w:t>
      </w:r>
      <w:r>
        <w:rPr>
          <w:rFonts w:ascii="Arial" w:cs="Arial" w:eastAsia="Arial" w:hAnsi="Arial"/>
          <w:sz w:val="18"/>
          <w:szCs w:val="18"/>
          <w:color w:val="auto"/>
        </w:rPr>
        <w:t>Once the warrants become exercisable, we may call the warrants for redemption:</w:t>
      </w:r>
    </w:p>
    <w:p>
      <w:pPr>
        <w:spacing w:after="0" w:line="212" w:lineRule="exact"/>
        <w:rPr>
          <w:sz w:val="20"/>
          <w:szCs w:val="20"/>
          <w:color w:val="auto"/>
        </w:rPr>
      </w:pPr>
    </w:p>
    <w:p>
      <w:pPr>
        <w:ind w:left="1260" w:hanging="368"/>
        <w:spacing w:after="0"/>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 w:lineRule="exact"/>
        <w:rPr>
          <w:rFonts w:ascii="Arial" w:cs="Arial" w:eastAsia="Arial" w:hAnsi="Arial"/>
          <w:sz w:val="18"/>
          <w:szCs w:val="18"/>
          <w:color w:val="auto"/>
        </w:rPr>
      </w:pPr>
    </w:p>
    <w:p>
      <w:pPr>
        <w:ind w:left="1260" w:hanging="368"/>
        <w:spacing w:after="0" w:line="234" w:lineRule="auto"/>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a price of $0.01 per warrant;</w:t>
      </w:r>
    </w:p>
    <w:p>
      <w:pPr>
        <w:jc w:val="both"/>
        <w:ind w:left="1260" w:hanging="368"/>
        <w:spacing w:after="0" w:line="256" w:lineRule="auto"/>
        <w:tabs>
          <w:tab w:leader="none" w:pos="1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upon a minimum of thirty (30) days’ prior written notice of redemption, or the thirty (30)-day redemption period, to each warrant holder; and if, and only if, the closing price of our common stock equals or exceeds $18.00 per share (as adjusted for stock splits, stock recapitalizations, reorganizations, recapitalizations and the like) for any twenty (20) trading days within a thirty (30)-trading day period ending on the third business day prior to the date on which we send the notice of redemption to the warrant holders.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our common stock may fall below the $18.00 redemption trigger price (as adjusted for stock splits, stock capitalizations, reorganizations, recapitalizations and the like) as well as the $11.50 warrant exercise price after the redemption notice is issued.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 xml:space="preserve">Redemption Procedures and Cashless Exercise. </w:t>
      </w:r>
      <w:r>
        <w:rPr>
          <w:rFonts w:ascii="Arial" w:cs="Arial" w:eastAsia="Arial" w:hAnsi="Arial"/>
          <w:sz w:val="16"/>
          <w:szCs w:val="16"/>
          <w:color w:val="auto"/>
        </w:rPr>
        <w:t>If we call the warrants for redemption as described above, our management will have the option to require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our common stock issuable upon the exercise of our warrants. In such event, each holder would pay the exercise price by surrendering the warrants for that number of shares of our common stock equal to the quotient obtained by dividing (x) the product of the number of shares of our common stock underlying the 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our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HEC Sponsor LLC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4" w:name="page135"/>
    <w:bookmarkEnd w:id="134"/>
    <w:p>
      <w:pPr>
        <w:jc w:val="both"/>
        <w:spacing w:after="0" w:line="243"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our common stock outstanding immediately after giving effect to such exercise.</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auto"/>
        </w:rPr>
        <w:t xml:space="preserve">Anti-Dilution Adjustments. </w:t>
      </w:r>
      <w:r>
        <w:rPr>
          <w:rFonts w:ascii="Arial" w:cs="Arial" w:eastAsia="Arial" w:hAnsi="Arial"/>
          <w:sz w:val="17"/>
          <w:szCs w:val="17"/>
          <w:color w:val="auto"/>
        </w:rPr>
        <w:t>If the number of outstanding shares of our common stock is increased by a stock dividend payable in shares of our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or by a split-up of shares of our common stock or other similar event, then, on the effective date of such stock dividend, split-up or similar event, the number of shares of our common stock issuable on exercise of each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our common stock on account of such shares of our common stock (or other shares of our capital stock into which the warrants are convertible), other than (a) as described above, (b) certain ordinary cash dividends, (c) to satisfy the redemption rights of the holders of our common stock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our common stock in respect of such event.</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our common stock issuable on exercise of each warrant will be decreased in proportion to such decrease in outstanding shares of our common stock.</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Whenever the number of shares of our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warrants immediately prior to such adjustment, and (y) the denominator of which will be the number of shares of our common stock so purchasable immediately thereafter.</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case of any reclassification or reorganization of the outstanding shares of our common stock (other than those described above or that solely affects the par value of such shares of our common stock), or in the case of any merger or consolidation of us with or into another corporation (other than a consolidation or merger in which we are the continuing corporation and that does not result in any reclassification or reorganization of our outstanding shares of our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warrants were issued in registered form under the Warrant Agreement. If you hold warrants, you should review a copy of the Warrant Agreement for a description of the terms and conditions applicable to the warrants. The Warrant Agreement provides that the terms of the warrants may be amended without the consent of any holder to cure any ambiguity or correct any defective provision,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5" w:name="page136"/>
    <w:bookmarkEnd w:id="135"/>
    <w:p>
      <w:pPr>
        <w:jc w:val="both"/>
        <w:ind w:right="20"/>
        <w:spacing w:after="0" w:line="261" w:lineRule="auto"/>
        <w:rPr>
          <w:sz w:val="20"/>
          <w:szCs w:val="20"/>
          <w:color w:val="auto"/>
        </w:rPr>
      </w:pPr>
      <w:r>
        <w:rPr>
          <w:rFonts w:ascii="Arial" w:cs="Arial" w:eastAsia="Arial" w:hAnsi="Arial"/>
          <w:sz w:val="18"/>
          <w:szCs w:val="18"/>
          <w:color w:val="auto"/>
        </w:rPr>
        <w:t>requires the approval by the holders of at least 50% of the then outstanding public warrants to make any change that adversely affects the interests of the registered holders of public warrants.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our common stock and any voting rights until they exercise their warrants and receive shares of our common stock. After the issuance of shares of our common stock upon exercise of the warrants, each holder will be entitled to one vote for each share held of record on all matters to be voted on by stockholders.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3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Private placement warrants are the warrants issued by HEC to the Sponsor in a private placement simultaneously with the closing of the HEC IPO and the warrants originally purchased by HEC Master Fund LP (“HEC Fund”) from HEC pursuant to the Forward Purchase Agreement, entered into as of June 8, 2020, by and between HEC and HEC Fund, as amended by that certain First Amendment to Forward Purchase Agreement, dated January 12, 2021. As of December 31, 2021, there were 12,780,000 private placement warrants outstanding. The private placement warrants (including our common stock issuable upon exercise of the private placement warrants) will not be redeemable by us so long as they are held by the Sponsor or its permitted transferees. The Sponsor, or its permitted transferees, has the option to exercise the private placement warrants on a cashless basis and are entitled to certain registration rights.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and exercisable by the holders on the same basis as the public warrants.</w:t>
      </w:r>
    </w:p>
    <w:p>
      <w:pPr>
        <w:spacing w:after="0" w:line="29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over the exercise price per share of the warrants by (y) the fair market value. The “fair market value” shall mean the average closing price per share of common stock for the ten (10) trading days ending on the third trading day prior to the date on which the notice of redemption is sent to the holders of warrants.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Agent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warrant agent for our warrants is Continental Stock Transfer &amp;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10795</wp:posOffset>
            </wp:positionV>
            <wp:extent cx="2503170" cy="7289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0">
                      <a:extLst>
                        <a:ext uri="{28A0092B-C50C-407E-A947-70E740481C1C}"/>
                      </a:extLst>
                    </a:blip>
                    <a:srcRect/>
                    <a:stretch>
                      <a:fillRect/>
                    </a:stretch>
                  </pic:blipFill>
                  <pic:spPr bwMode="auto">
                    <a:xfrm>
                      <a:off x="0" y="0"/>
                      <a:ext cx="250317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340"/>
        <w:spacing w:after="0"/>
        <w:rPr>
          <w:sz w:val="20"/>
          <w:szCs w:val="20"/>
          <w:color w:val="auto"/>
        </w:rPr>
      </w:pPr>
      <w:r>
        <w:rPr>
          <w:rFonts w:ascii="Arial" w:cs="Arial" w:eastAsia="Arial" w:hAnsi="Arial"/>
          <w:sz w:val="22"/>
          <w:szCs w:val="22"/>
          <w:color w:val="auto"/>
        </w:rPr>
        <w:t>June 22, 2021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Dear Gil Margolin,</w:t>
      </w:r>
    </w:p>
    <w:p>
      <w:pPr>
        <w:spacing w:after="0" w:line="223" w:lineRule="exact"/>
        <w:rPr>
          <w:sz w:val="20"/>
          <w:szCs w:val="20"/>
          <w:color w:val="auto"/>
        </w:rPr>
      </w:pPr>
    </w:p>
    <w:p>
      <w:pPr>
        <w:jc w:val="both"/>
        <w:ind w:right="120"/>
        <w:spacing w:after="0" w:line="289" w:lineRule="auto"/>
        <w:rPr>
          <w:sz w:val="20"/>
          <w:szCs w:val="20"/>
          <w:color w:val="auto"/>
        </w:rPr>
      </w:pPr>
      <w:r>
        <w:rPr>
          <w:rFonts w:ascii="Arial" w:cs="Arial" w:eastAsia="Arial" w:hAnsi="Arial"/>
          <w:sz w:val="19"/>
          <w:szCs w:val="19"/>
          <w:color w:val="auto"/>
        </w:rPr>
        <w:t>Talkspace, Inc. (d.b.a. Talkspace)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is very pleased to offer you the position of </w:t>
      </w:r>
      <w:r>
        <w:rPr>
          <w:rFonts w:ascii="Arial" w:cs="Arial" w:eastAsia="Arial" w:hAnsi="Arial"/>
          <w:sz w:val="19"/>
          <w:szCs w:val="19"/>
          <w:b w:val="1"/>
          <w:bCs w:val="1"/>
          <w:color w:val="auto"/>
        </w:rPr>
        <w:t>Chief Technology Officer</w:t>
      </w:r>
      <w:r>
        <w:rPr>
          <w:rFonts w:ascii="Arial" w:cs="Arial" w:eastAsia="Arial" w:hAnsi="Arial"/>
          <w:sz w:val="19"/>
          <w:szCs w:val="19"/>
          <w:color w:val="auto"/>
        </w:rPr>
        <w:t xml:space="preserve"> reporting directly to the Company’s CEO with an anticipated start date of July 1, 2021. You shall devote your full working time, attention and best efforts to fulfill your duties and to further the business and interests of the Company. This agreement supersedes all prior offer letters, agreements, and any other documentation of employment.</w:t>
      </w:r>
    </w:p>
    <w:p>
      <w:pPr>
        <w:spacing w:after="0" w:line="155" w:lineRule="exact"/>
        <w:rPr>
          <w:sz w:val="20"/>
          <w:szCs w:val="20"/>
          <w:color w:val="auto"/>
        </w:rPr>
      </w:pPr>
    </w:p>
    <w:p>
      <w:pPr>
        <w:jc w:val="both"/>
        <w:ind w:left="740" w:right="120" w:hanging="374"/>
        <w:spacing w:after="0" w:line="287" w:lineRule="auto"/>
        <w:tabs>
          <w:tab w:leader="none" w:pos="74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You will receive an annual salary of $330,000, subject to tax and other withholdings as required by law, which will be paid semi-monthly in accordance with the Company's normal payroll procedures (your “</w:t>
      </w:r>
      <w:r>
        <w:rPr>
          <w:rFonts w:ascii="Arial" w:cs="Arial" w:eastAsia="Arial" w:hAnsi="Arial"/>
          <w:sz w:val="19"/>
          <w:szCs w:val="19"/>
          <w:b w:val="1"/>
          <w:bCs w:val="1"/>
          <w:color w:val="auto"/>
        </w:rPr>
        <w:t>Base</w:t>
      </w:r>
      <w:r>
        <w:rPr>
          <w:rFonts w:ascii="Arial" w:cs="Arial" w:eastAsia="Arial" w:hAnsi="Arial"/>
          <w:sz w:val="19"/>
          <w:szCs w:val="19"/>
          <w:color w:val="auto"/>
        </w:rPr>
        <w:t xml:space="preserve"> </w:t>
      </w:r>
      <w:r>
        <w:rPr>
          <w:rFonts w:ascii="Arial" w:cs="Arial" w:eastAsia="Arial" w:hAnsi="Arial"/>
          <w:sz w:val="19"/>
          <w:szCs w:val="19"/>
          <w:b w:val="1"/>
          <w:bCs w:val="1"/>
          <w:color w:val="auto"/>
        </w:rPr>
        <w:t>Salary</w:t>
      </w:r>
      <w:r>
        <w:rPr>
          <w:rFonts w:ascii="Arial" w:cs="Arial" w:eastAsia="Arial" w:hAnsi="Arial"/>
          <w:sz w:val="19"/>
          <w:szCs w:val="19"/>
          <w:color w:val="auto"/>
        </w:rPr>
        <w:t>”). Your Base Salary may be adjusted from time to time in accordance with normal business practice and at the</w:t>
      </w:r>
      <w:r>
        <w:rPr>
          <w:rFonts w:ascii="Arial" w:cs="Arial" w:eastAsia="Arial" w:hAnsi="Arial"/>
          <w:sz w:val="19"/>
          <w:szCs w:val="19"/>
          <w:b w:val="1"/>
          <w:bCs w:val="1"/>
          <w:color w:val="auto"/>
        </w:rPr>
        <w:t xml:space="preserve"> </w:t>
      </w:r>
      <w:r>
        <w:rPr>
          <w:rFonts w:ascii="Arial" w:cs="Arial" w:eastAsia="Arial" w:hAnsi="Arial"/>
          <w:sz w:val="19"/>
          <w:szCs w:val="19"/>
          <w:color w:val="auto"/>
        </w:rPr>
        <w:t>sole discretion of the Company. You shall be an “exempt” employee not working hourly or eligible for overtime.</w:t>
      </w:r>
    </w:p>
    <w:p>
      <w:pPr>
        <w:spacing w:after="0" w:line="177" w:lineRule="exact"/>
        <w:rPr>
          <w:sz w:val="20"/>
          <w:szCs w:val="20"/>
          <w:color w:val="auto"/>
        </w:rPr>
      </w:pPr>
    </w:p>
    <w:p>
      <w:pPr>
        <w:jc w:val="both"/>
        <w:ind w:right="120"/>
        <w:spacing w:after="0" w:line="283" w:lineRule="auto"/>
        <w:rPr>
          <w:sz w:val="20"/>
          <w:szCs w:val="20"/>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You will be eligible for an annual bonus under the Company’s annual incentive program (your “</w:t>
      </w:r>
      <w:r>
        <w:rPr>
          <w:rFonts w:ascii="Arial" w:cs="Arial" w:eastAsia="Arial" w:hAnsi="Arial"/>
          <w:sz w:val="19"/>
          <w:szCs w:val="19"/>
          <w:b w:val="1"/>
          <w:bCs w:val="1"/>
          <w:color w:val="auto"/>
        </w:rPr>
        <w:t>Annual Bonus</w:t>
      </w:r>
      <w:r>
        <w:rPr>
          <w:rFonts w:ascii="Arial" w:cs="Arial" w:eastAsia="Arial" w:hAnsi="Arial"/>
          <w:sz w:val="19"/>
          <w:szCs w:val="19"/>
          <w:color w:val="auto"/>
        </w:rPr>
        <w:t>”). Your target Annual Bonus will be equal to 50% of your Base Salary, evenly divided between Individual and Company goals. You have the potential to achieve up to 100% of your Base Salary based on achieving max goals as defined by the Talkspace Strategic Scorecard. Your Annual Bonus will be awarded based on the achievement of both individual and Company goals as communicated to you by the Company on an annual basis, and subject to the terms and conditions of the applicable program.</w:t>
      </w:r>
    </w:p>
    <w:p>
      <w:pPr>
        <w:spacing w:after="0" w:line="122" w:lineRule="exact"/>
        <w:rPr>
          <w:sz w:val="20"/>
          <w:szCs w:val="20"/>
          <w:color w:val="auto"/>
        </w:rPr>
      </w:pPr>
    </w:p>
    <w:p>
      <w:pPr>
        <w:ind w:left="740" w:hanging="374"/>
        <w:spacing w:after="0"/>
        <w:tabs>
          <w:tab w:leader="none" w:pos="74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Equity Award</w:t>
      </w:r>
      <w:r>
        <w:rPr>
          <w:rFonts w:ascii="Arial" w:cs="Arial" w:eastAsia="Arial" w:hAnsi="Arial"/>
          <w:sz w:val="22"/>
          <w:szCs w:val="22"/>
          <w:color w:val="auto"/>
        </w:rPr>
        <w:t>.</w:t>
      </w:r>
    </w:p>
    <w:p>
      <w:pPr>
        <w:spacing w:after="0" w:line="240" w:lineRule="exact"/>
        <w:rPr>
          <w:rFonts w:ascii="Arial" w:cs="Arial" w:eastAsia="Arial" w:hAnsi="Arial"/>
          <w:sz w:val="22"/>
          <w:szCs w:val="22"/>
          <w:color w:val="auto"/>
        </w:rPr>
      </w:pPr>
    </w:p>
    <w:p>
      <w:pPr>
        <w:jc w:val="both"/>
        <w:ind w:left="1480" w:right="120" w:hanging="365"/>
        <w:spacing w:after="0" w:line="247" w:lineRule="auto"/>
        <w:tabs>
          <w:tab w:leader="none" w:pos="1480" w:val="left"/>
        </w:tabs>
        <w:numPr>
          <w:ilvl w:val="1"/>
          <w:numId w:val="76"/>
        </w:numPr>
        <w:rPr>
          <w:rFonts w:ascii="Arial" w:cs="Arial" w:eastAsia="Arial" w:hAnsi="Arial"/>
          <w:sz w:val="21"/>
          <w:szCs w:val="21"/>
          <w:color w:val="auto"/>
        </w:rPr>
      </w:pPr>
      <w:r>
        <w:rPr>
          <w:rFonts w:ascii="Arial" w:cs="Arial" w:eastAsia="Arial" w:hAnsi="Arial"/>
          <w:sz w:val="21"/>
          <w:szCs w:val="21"/>
          <w:color w:val="auto"/>
        </w:rPr>
        <w:t>Subject to approval of the Board of Directors of the Company (or a subcommittee thereof) (the “</w:t>
      </w:r>
      <w:r>
        <w:rPr>
          <w:rFonts w:ascii="Arial" w:cs="Arial" w:eastAsia="Arial" w:hAnsi="Arial"/>
          <w:sz w:val="21"/>
          <w:szCs w:val="21"/>
          <w:b w:val="1"/>
          <w:bCs w:val="1"/>
          <w:color w:val="auto"/>
        </w:rPr>
        <w:t>Board</w:t>
      </w:r>
      <w:r>
        <w:rPr>
          <w:rFonts w:ascii="Arial" w:cs="Arial" w:eastAsia="Arial" w:hAnsi="Arial"/>
          <w:sz w:val="21"/>
          <w:szCs w:val="21"/>
          <w:color w:val="auto"/>
        </w:rPr>
        <w:t>”), the Company shall grant to you equity-based compensation awards under the Talkspace, Inc. 2021 Incentive Award Plan (the “</w:t>
      </w:r>
      <w:r>
        <w:rPr>
          <w:rFonts w:ascii="Arial" w:cs="Arial" w:eastAsia="Arial" w:hAnsi="Arial"/>
          <w:sz w:val="21"/>
          <w:szCs w:val="21"/>
          <w:b w:val="1"/>
          <w:bCs w:val="1"/>
          <w:color w:val="auto"/>
        </w:rPr>
        <w:t>Plan</w:t>
      </w:r>
      <w:r>
        <w:rPr>
          <w:rFonts w:ascii="Arial" w:cs="Arial" w:eastAsia="Arial" w:hAnsi="Arial"/>
          <w:sz w:val="21"/>
          <w:szCs w:val="21"/>
          <w:color w:val="auto"/>
        </w:rPr>
        <w:t>”) with an aggregate share number equal to 618,750 shares. Of such amount, 20% or 123,750 units will be granted in the form of a restricted stock unit award (the “</w:t>
      </w:r>
      <w:r>
        <w:rPr>
          <w:rFonts w:ascii="Arial" w:cs="Arial" w:eastAsia="Arial" w:hAnsi="Arial"/>
          <w:sz w:val="21"/>
          <w:szCs w:val="21"/>
          <w:b w:val="1"/>
          <w:bCs w:val="1"/>
          <w:color w:val="auto"/>
        </w:rPr>
        <w:t>RSU Award</w:t>
      </w:r>
      <w:r>
        <w:rPr>
          <w:rFonts w:ascii="Arial" w:cs="Arial" w:eastAsia="Arial" w:hAnsi="Arial"/>
          <w:sz w:val="21"/>
          <w:szCs w:val="21"/>
          <w:color w:val="auto"/>
        </w:rPr>
        <w:t>”) and the remaining 80% (495,000) shall be granted in the form of an option to purchase Company common stock (the “</w:t>
      </w:r>
      <w:r>
        <w:rPr>
          <w:rFonts w:ascii="Arial" w:cs="Arial" w:eastAsia="Arial" w:hAnsi="Arial"/>
          <w:sz w:val="21"/>
          <w:szCs w:val="21"/>
          <w:b w:val="1"/>
          <w:bCs w:val="1"/>
          <w:color w:val="auto"/>
        </w:rPr>
        <w:t>Stock Option</w:t>
      </w:r>
      <w:r>
        <w:rPr>
          <w:rFonts w:ascii="Arial" w:cs="Arial" w:eastAsia="Arial" w:hAnsi="Arial"/>
          <w:sz w:val="21"/>
          <w:szCs w:val="21"/>
          <w:color w:val="auto"/>
        </w:rPr>
        <w:t>” and, together with the RSU Award, the “</w:t>
      </w:r>
      <w:r>
        <w:rPr>
          <w:rFonts w:ascii="Arial" w:cs="Arial" w:eastAsia="Arial" w:hAnsi="Arial"/>
          <w:sz w:val="21"/>
          <w:szCs w:val="21"/>
          <w:b w:val="1"/>
          <w:bCs w:val="1"/>
          <w:color w:val="auto"/>
        </w:rPr>
        <w:t>Award</w:t>
      </w:r>
      <w:r>
        <w:rPr>
          <w:rFonts w:ascii="Arial" w:cs="Arial" w:eastAsia="Arial" w:hAnsi="Arial"/>
          <w:sz w:val="21"/>
          <w:szCs w:val="21"/>
          <w:color w:val="auto"/>
        </w:rPr>
        <w:t>”), in each case, subject to your continued employment through the applicable vesting date.</w:t>
      </w:r>
    </w:p>
    <w:p>
      <w:pPr>
        <w:spacing w:after="0" w:line="223" w:lineRule="exact"/>
        <w:rPr>
          <w:rFonts w:ascii="Arial" w:cs="Arial" w:eastAsia="Arial" w:hAnsi="Arial"/>
          <w:sz w:val="21"/>
          <w:szCs w:val="21"/>
          <w:color w:val="auto"/>
        </w:rPr>
      </w:pPr>
    </w:p>
    <w:p>
      <w:pPr>
        <w:jc w:val="both"/>
        <w:ind w:left="1480" w:right="120" w:hanging="365"/>
        <w:spacing w:after="0"/>
        <w:tabs>
          <w:tab w:leader="none" w:pos="14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number of shares of Company common stock subject to the RSU Award will be determined by dividing the applicable RSU Award grant value by the Fair Market Value (as defined in the Plan) of the Company’s common stock on the applicable grant date.</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14" w:right="339" w:bottom="1440" w:gutter="0" w:footer="0" w:header="0"/>
        </w:sectPr>
      </w:pPr>
    </w:p>
    <w:bookmarkStart w:id="137" w:name="page138"/>
    <w:bookmarkEnd w:id="137"/>
    <w:p>
      <w:pPr>
        <w:jc w:val="both"/>
        <w:ind w:left="1120" w:hanging="365"/>
        <w:spacing w:after="0" w:line="248" w:lineRule="auto"/>
        <w:tabs>
          <w:tab w:leader="none" w:pos="1120" w:val="left"/>
        </w:tabs>
        <w:numPr>
          <w:ilvl w:val="1"/>
          <w:numId w:val="77"/>
        </w:numPr>
        <w:rPr>
          <w:rFonts w:ascii="Arial" w:cs="Arial" w:eastAsia="Arial" w:hAnsi="Arial"/>
          <w:sz w:val="21"/>
          <w:szCs w:val="21"/>
          <w:color w:val="auto"/>
        </w:rPr>
      </w:pPr>
      <w:r>
        <w:rPr>
          <w:rFonts w:ascii="Arial" w:cs="Arial" w:eastAsia="Arial" w:hAnsi="Arial"/>
          <w:sz w:val="21"/>
          <w:szCs w:val="21"/>
          <w:color w:val="auto"/>
        </w:rPr>
        <w:t>The Stock Option shall be a non-qualified stock option, shall have an exercise price per share equal to the Fair Market Value of the Company’s common stock on the applicable grant date, and shall have a maximum term of ten years from the applicable grant date. The number of shares of Company common stock subject to the Stock Option will be determined by dividing the applicable Stock Option grant value by the per share Black-Scholes valuation as of the applicable grant date, utilizing the same assumptions that the Company uses in the preparation of its financial statements.</w:t>
      </w:r>
    </w:p>
    <w:p>
      <w:pPr>
        <w:spacing w:after="0" w:line="217" w:lineRule="exact"/>
        <w:rPr>
          <w:rFonts w:ascii="Arial" w:cs="Arial" w:eastAsia="Arial" w:hAnsi="Arial"/>
          <w:sz w:val="21"/>
          <w:szCs w:val="21"/>
          <w:color w:val="auto"/>
        </w:rPr>
      </w:pPr>
    </w:p>
    <w:p>
      <w:pPr>
        <w:jc w:val="both"/>
        <w:ind w:left="1120" w:hanging="365"/>
        <w:spacing w:after="0" w:line="277" w:lineRule="auto"/>
        <w:tabs>
          <w:tab w:leader="none" w:pos="1120" w:val="left"/>
        </w:tabs>
        <w:numPr>
          <w:ilvl w:val="1"/>
          <w:numId w:val="77"/>
        </w:numPr>
        <w:rPr>
          <w:rFonts w:ascii="Arial" w:cs="Arial" w:eastAsia="Arial" w:hAnsi="Arial"/>
          <w:sz w:val="19"/>
          <w:szCs w:val="19"/>
          <w:color w:val="auto"/>
        </w:rPr>
      </w:pPr>
      <w:r>
        <w:rPr>
          <w:rFonts w:ascii="Arial" w:cs="Arial" w:eastAsia="Arial" w:hAnsi="Arial"/>
          <w:sz w:val="19"/>
          <w:szCs w:val="19"/>
          <w:color w:val="auto"/>
        </w:rPr>
        <w:t>Subject to your continued service with the Company through the applicable vesting date, each Award shall vest (and become exercisable, as applicable) (x) with respect to 100% of the equity underlying such Award, in substantially equal installments on each of the 16 quarterly anniversaries thereafter. The terms and conditions of each Award shall be set forth in one or more separate award agreement(s) in a form(s) prescribed by the Company, to be entered into by the Company and you (the “</w:t>
      </w:r>
      <w:r>
        <w:rPr>
          <w:rFonts w:ascii="Arial" w:cs="Arial" w:eastAsia="Arial" w:hAnsi="Arial"/>
          <w:sz w:val="19"/>
          <w:szCs w:val="19"/>
          <w:b w:val="1"/>
          <w:bCs w:val="1"/>
          <w:color w:val="auto"/>
        </w:rPr>
        <w:t>Award Agreements</w:t>
      </w:r>
      <w:r>
        <w:rPr>
          <w:rFonts w:ascii="Arial" w:cs="Arial" w:eastAsia="Arial" w:hAnsi="Arial"/>
          <w:sz w:val="19"/>
          <w:szCs w:val="19"/>
          <w:color w:val="auto"/>
        </w:rPr>
        <w:t>”). Except as otherwise specifically provided in this Agreement, each Award shall be governed in all respects by the terms of and conditions of the Plan and the applicable Award Agreement.</w:t>
      </w:r>
    </w:p>
    <w:p>
      <w:pPr>
        <w:spacing w:after="0" w:line="178" w:lineRule="exact"/>
        <w:rPr>
          <w:rFonts w:ascii="Arial" w:cs="Arial" w:eastAsia="Arial" w:hAnsi="Arial"/>
          <w:sz w:val="19"/>
          <w:szCs w:val="19"/>
          <w:color w:val="auto"/>
        </w:rPr>
      </w:pPr>
    </w:p>
    <w:p>
      <w:pPr>
        <w:ind w:left="1120" w:right="20" w:hanging="365"/>
        <w:spacing w:after="0" w:line="250" w:lineRule="auto"/>
        <w:tabs>
          <w:tab w:leader="none" w:pos="11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Beginning in calendar year 2022, you will be eligible to receive an annual equity-based award as determined by the Board from time to time.</w:t>
      </w:r>
    </w:p>
    <w:p>
      <w:pPr>
        <w:spacing w:after="0" w:line="215" w:lineRule="exact"/>
        <w:rPr>
          <w:rFonts w:ascii="Arial" w:cs="Arial" w:eastAsia="Arial" w:hAnsi="Arial"/>
          <w:sz w:val="22"/>
          <w:szCs w:val="22"/>
          <w:color w:val="auto"/>
        </w:rPr>
      </w:pPr>
    </w:p>
    <w:p>
      <w:pPr>
        <w:jc w:val="both"/>
        <w:ind w:left="380" w:hanging="374"/>
        <w:spacing w:after="0"/>
        <w:tabs>
          <w:tab w:leader="none" w:pos="3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During your employment, you will be entitled to the benefits generally made available to regular, full-time salaried employees of the Company as summarized in the attached Benefits Overview. The Company reserves the right to adjust its benefits program from time to time as the Company sees fit.</w:t>
      </w:r>
    </w:p>
    <w:p>
      <w:pPr>
        <w:spacing w:after="0" w:line="226" w:lineRule="exact"/>
        <w:rPr>
          <w:rFonts w:ascii="Arial" w:cs="Arial" w:eastAsia="Arial" w:hAnsi="Arial"/>
          <w:sz w:val="22"/>
          <w:szCs w:val="22"/>
          <w:color w:val="auto"/>
        </w:rPr>
      </w:pPr>
    </w:p>
    <w:p>
      <w:pPr>
        <w:jc w:val="both"/>
        <w:ind w:left="380" w:hanging="374"/>
        <w:spacing w:after="0" w:line="246" w:lineRule="auto"/>
        <w:tabs>
          <w:tab w:leader="none" w:pos="380"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Conditions to Employment</w:t>
      </w:r>
      <w:r>
        <w:rPr>
          <w:rFonts w:ascii="Arial" w:cs="Arial" w:eastAsia="Arial" w:hAnsi="Arial"/>
          <w:sz w:val="21"/>
          <w:szCs w:val="21"/>
          <w:color w:val="auto"/>
        </w:rPr>
        <w:t xml:space="preserve">. As a condition of your employment, you are required to review and sign the Invention, Non-Disclosure, Non-Competition and Non-Solicitation Agreement attached hereto as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b w:val="1"/>
          <w:bCs w:val="1"/>
          <w:color w:val="auto"/>
        </w:rPr>
        <w:t>Restrictive</w:t>
      </w:r>
      <w:r>
        <w:rPr>
          <w:rFonts w:ascii="Arial" w:cs="Arial" w:eastAsia="Arial" w:hAnsi="Arial"/>
          <w:sz w:val="21"/>
          <w:szCs w:val="21"/>
          <w:color w:val="auto"/>
        </w:rPr>
        <w:t xml:space="preserve"> </w:t>
      </w:r>
      <w:r>
        <w:rPr>
          <w:rFonts w:ascii="Arial" w:cs="Arial" w:eastAsia="Arial" w:hAnsi="Arial"/>
          <w:sz w:val="21"/>
          <w:szCs w:val="21"/>
          <w:b w:val="1"/>
          <w:bCs w:val="1"/>
          <w:color w:val="auto"/>
        </w:rPr>
        <w:t>Covenant Agreement</w:t>
      </w:r>
      <w:r>
        <w:rPr>
          <w:rFonts w:ascii="Arial" w:cs="Arial" w:eastAsia="Arial" w:hAnsi="Arial"/>
          <w:sz w:val="21"/>
          <w:szCs w:val="21"/>
          <w:color w:val="auto"/>
        </w:rPr>
        <w:t>”) and the Company’s Employee Handbook.</w:t>
      </w:r>
      <w:r>
        <w:rPr>
          <w:rFonts w:ascii="Arial" w:cs="Arial" w:eastAsia="Arial" w:hAnsi="Arial"/>
          <w:sz w:val="21"/>
          <w:szCs w:val="21"/>
          <w:b w:val="1"/>
          <w:bCs w:val="1"/>
          <w:color w:val="auto"/>
        </w:rPr>
        <w:t xml:space="preserve"> </w:t>
      </w:r>
      <w:r>
        <w:rPr>
          <w:rFonts w:ascii="Arial" w:cs="Arial" w:eastAsia="Arial" w:hAnsi="Arial"/>
          <w:sz w:val="21"/>
          <w:szCs w:val="21"/>
          <w:color w:val="212121"/>
        </w:rPr>
        <w:t>This employment offer is further contingent upon</w:t>
      </w:r>
      <w:r>
        <w:rPr>
          <w:rFonts w:ascii="Arial" w:cs="Arial" w:eastAsia="Arial" w:hAnsi="Arial"/>
          <w:sz w:val="21"/>
          <w:szCs w:val="21"/>
          <w:b w:val="1"/>
          <w:bCs w:val="1"/>
          <w:color w:val="auto"/>
        </w:rPr>
        <w:t xml:space="preserve"> </w:t>
      </w:r>
      <w:r>
        <w:rPr>
          <w:rFonts w:ascii="Arial" w:cs="Arial" w:eastAsia="Arial" w:hAnsi="Arial"/>
          <w:sz w:val="21"/>
          <w:szCs w:val="21"/>
          <w:color w:val="212121"/>
        </w:rPr>
        <w:t xml:space="preserve">your successful completion of a background check. A thorough background check is also a contractual requirement by many of our customers as a condition of doing business. </w:t>
      </w:r>
      <w:r>
        <w:rPr>
          <w:rFonts w:ascii="Arial" w:cs="Arial" w:eastAsia="Arial" w:hAnsi="Arial"/>
          <w:sz w:val="21"/>
          <w:szCs w:val="21"/>
          <w:color w:val="000000"/>
        </w:rPr>
        <w:t>You will also be required to complete applicable</w:t>
      </w:r>
      <w:r>
        <w:rPr>
          <w:rFonts w:ascii="Arial" w:cs="Arial" w:eastAsia="Arial" w:hAnsi="Arial"/>
          <w:sz w:val="21"/>
          <w:szCs w:val="21"/>
          <w:color w:val="212121"/>
        </w:rPr>
        <w:t xml:space="preserve"> </w:t>
      </w:r>
      <w:r>
        <w:rPr>
          <w:rFonts w:ascii="Arial" w:cs="Arial" w:eastAsia="Arial" w:hAnsi="Arial"/>
          <w:sz w:val="21"/>
          <w:szCs w:val="21"/>
          <w:color w:val="000000"/>
        </w:rPr>
        <w:t>immigration, payroll and tax forms, and to provide documentation of your eligibility to work in the United States, as required by the Immigration Reform and Control Act of 1986.</w:t>
      </w:r>
    </w:p>
    <w:p>
      <w:pPr>
        <w:spacing w:after="0" w:line="211" w:lineRule="exact"/>
        <w:rPr>
          <w:rFonts w:ascii="Arial" w:cs="Arial" w:eastAsia="Arial" w:hAnsi="Arial"/>
          <w:sz w:val="21"/>
          <w:szCs w:val="21"/>
          <w:color w:val="auto"/>
        </w:rPr>
      </w:pPr>
    </w:p>
    <w:p>
      <w:pPr>
        <w:jc w:val="both"/>
        <w:ind w:left="380" w:right="20" w:hanging="374"/>
        <w:spacing w:after="0" w:line="238" w:lineRule="auto"/>
        <w:tabs>
          <w:tab w:leader="none" w:pos="3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Your employment with the Company is for no specified period and constitutes "at-will" employment in that it can be terminated with or without cause, and with or without notice, at any time, at the option of either the Company or yourself, except as otherwise provided by law. All issues related to separation and severance are covered separately in the Talkspace Executive Severance Plan.</w:t>
      </w:r>
    </w:p>
    <w:p>
      <w:pPr>
        <w:spacing w:after="0" w:line="211" w:lineRule="exact"/>
        <w:rPr>
          <w:rFonts w:ascii="Arial" w:cs="Arial" w:eastAsia="Arial" w:hAnsi="Arial"/>
          <w:sz w:val="22"/>
          <w:szCs w:val="22"/>
          <w:color w:val="auto"/>
        </w:rPr>
      </w:pPr>
    </w:p>
    <w:p>
      <w:pPr>
        <w:ind w:left="380" w:right="20" w:hanging="374"/>
        <w:spacing w:after="0" w:line="328" w:lineRule="auto"/>
        <w:tabs>
          <w:tab w:leader="none" w:pos="38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letter, along with the Restrictive Covenant Agreement, sets forth the terms of your employment with the Company and supersede any prior representations or agreements whether written or oral.</w:t>
      </w:r>
    </w:p>
    <w:p>
      <w:pPr>
        <w:spacing w:after="0" w:line="18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62865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00" w:top="374" w:right="459" w:bottom="1440" w:gutter="0" w:footer="0" w:header="0"/>
        </w:sectPr>
      </w:pPr>
    </w:p>
    <w:bookmarkStart w:id="138" w:name="page139"/>
    <w:bookmarkEnd w:id="138"/>
    <w:p>
      <w:pPr>
        <w:ind w:left="740" w:hanging="374"/>
        <w:spacing w:after="0"/>
        <w:tabs>
          <w:tab w:leader="none" w:pos="74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480" w:hanging="365"/>
        <w:spacing w:after="0" w:line="235" w:lineRule="auto"/>
        <w:tabs>
          <w:tab w:leader="none" w:pos="14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validity, interpretation, enforceability, and performance of this letter shall be governed by and construed in accordance with the laws of the State of New York, without giving effect to conflict of laws provisions thereof. Each party hereto hereby consents to the personal and exclusive jurisdiction and venue of the courts of the State of New York and expressly waives any claim of improper venue and any claim that such courts are an inconvenient forum. By your acceptance of this offer letter, you agree to submit to the jurisdiction of such courts.</w:t>
      </w:r>
    </w:p>
    <w:p>
      <w:pPr>
        <w:spacing w:after="0" w:line="214" w:lineRule="exact"/>
        <w:rPr>
          <w:rFonts w:ascii="Arial" w:cs="Arial" w:eastAsia="Arial" w:hAnsi="Arial"/>
          <w:sz w:val="22"/>
          <w:szCs w:val="22"/>
          <w:color w:val="auto"/>
        </w:rPr>
      </w:pPr>
    </w:p>
    <w:p>
      <w:pPr>
        <w:jc w:val="both"/>
        <w:ind w:left="1480" w:hanging="365"/>
        <w:spacing w:after="0"/>
        <w:tabs>
          <w:tab w:leader="none" w:pos="14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You represent that 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227"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If you agree with and accept the terms of this offer of employment, please sign below and return this letter to me. This offer shall expire in three business days; however, if you need additional time to consider, please contact us at peopleops@talkspace.com. We look forward to having you join Talkspace.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03" w:lineRule="exact"/>
        <w:rPr>
          <w:sz w:val="20"/>
          <w:szCs w:val="20"/>
          <w:color w:val="auto"/>
        </w:rPr>
      </w:pPr>
    </w:p>
    <w:p>
      <w:pPr>
        <w:ind w:left="80"/>
        <w:spacing w:after="0"/>
        <w:rPr>
          <w:sz w:val="20"/>
          <w:szCs w:val="20"/>
          <w:color w:val="auto"/>
        </w:rPr>
      </w:pPr>
      <w:r>
        <w:rPr>
          <w:rFonts w:ascii="Arial" w:cs="Arial" w:eastAsia="Arial" w:hAnsi="Arial"/>
          <w:sz w:val="22"/>
          <w:szCs w:val="22"/>
          <w:color w:val="auto"/>
        </w:rPr>
        <w:t>/s/ Oren Frank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Oren Frank CEO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Talkspace, Inc.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 BY: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Gil Margolin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Gil Margolin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Date: 6/22/21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-17780</wp:posOffset>
            </wp:positionV>
            <wp:extent cx="274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766" w:right="459" w:bottom="1440" w:gutter="0" w:footer="0" w:header="0"/>
        </w:sectPr>
      </w:pPr>
    </w:p>
    <w:bookmarkStart w:id="139" w:name="page140"/>
    <w:bookmarkEnd w:id="139"/>
    <w:p>
      <w:pPr>
        <w:jc w:val="center"/>
        <w:ind w:right="11"/>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u w:val="single" w:color="auto"/>
          <w:color w:val="auto"/>
        </w:rPr>
        <w:t>Invention, Non-Disclosure, Non-Competition and Non-Solicitation Agreement</w:t>
      </w:r>
    </w:p>
    <w:p>
      <w:pPr>
        <w:spacing w:after="0" w:line="239" w:lineRule="exact"/>
        <w:rPr>
          <w:sz w:val="20"/>
          <w:szCs w:val="20"/>
          <w:color w:val="auto"/>
        </w:rPr>
      </w:pPr>
    </w:p>
    <w:p>
      <w:pPr>
        <w:jc w:val="both"/>
        <w:ind w:left="9" w:right="20"/>
        <w:spacing w:after="0" w:line="238" w:lineRule="auto"/>
        <w:rPr>
          <w:sz w:val="20"/>
          <w:szCs w:val="20"/>
          <w:color w:val="auto"/>
        </w:rPr>
      </w:pPr>
      <w:r>
        <w:rPr>
          <w:rFonts w:ascii="Arial" w:cs="Arial" w:eastAsia="Arial" w:hAnsi="Arial"/>
          <w:sz w:val="22"/>
          <w:szCs w:val="22"/>
          <w:color w:val="auto"/>
        </w:rPr>
        <w:t>This Invention, Non-Disclosure, Non-Competition and Non-Solicitation Agreement (hereinafter referred to as the “</w:t>
      </w:r>
      <w:r>
        <w:rPr>
          <w:rFonts w:ascii="Arial" w:cs="Arial" w:eastAsia="Arial" w:hAnsi="Arial"/>
          <w:sz w:val="22"/>
          <w:szCs w:val="22"/>
          <w:b w:val="1"/>
          <w:bCs w:val="1"/>
          <w:color w:val="auto"/>
        </w:rPr>
        <w:t>Agreement</w:t>
      </w:r>
      <w:r>
        <w:rPr>
          <w:rFonts w:ascii="Arial" w:cs="Arial" w:eastAsia="Arial" w:hAnsi="Arial"/>
          <w:sz w:val="22"/>
          <w:szCs w:val="22"/>
          <w:color w:val="auto"/>
        </w:rPr>
        <w:t>”) is dated as of June 22, 2021 (hereinafter referred to as the “</w:t>
      </w:r>
      <w:r>
        <w:rPr>
          <w:rFonts w:ascii="Arial" w:cs="Arial" w:eastAsia="Arial" w:hAnsi="Arial"/>
          <w:sz w:val="22"/>
          <w:szCs w:val="22"/>
          <w:b w:val="1"/>
          <w:bCs w:val="1"/>
          <w:color w:val="auto"/>
        </w:rPr>
        <w:t>Effective Date</w:t>
      </w:r>
      <w:r>
        <w:rPr>
          <w:rFonts w:ascii="Arial" w:cs="Arial" w:eastAsia="Arial" w:hAnsi="Arial"/>
          <w:sz w:val="22"/>
          <w:szCs w:val="22"/>
          <w:color w:val="auto"/>
        </w:rPr>
        <w:t>”) and is between: Talkspace, Inc. (d.b.a. Talkspace) (hereinafter the “</w:t>
      </w:r>
      <w:r>
        <w:rPr>
          <w:rFonts w:ascii="Arial" w:cs="Arial" w:eastAsia="Arial" w:hAnsi="Arial"/>
          <w:sz w:val="22"/>
          <w:szCs w:val="22"/>
          <w:b w:val="1"/>
          <w:bCs w:val="1"/>
          <w:color w:val="auto"/>
        </w:rPr>
        <w:t>Company</w:t>
      </w:r>
      <w:r>
        <w:rPr>
          <w:rFonts w:ascii="Arial" w:cs="Arial" w:eastAsia="Arial" w:hAnsi="Arial"/>
          <w:sz w:val="22"/>
          <w:szCs w:val="22"/>
          <w:color w:val="auto"/>
        </w:rPr>
        <w:t>”), having a place of business at 2578 Broadway #607, New York, NY 10025, and Gil Margolin (hereinafter referred to in the first person as "</w:t>
      </w:r>
      <w:r>
        <w:rPr>
          <w:rFonts w:ascii="Arial" w:cs="Arial" w:eastAsia="Arial" w:hAnsi="Arial"/>
          <w:sz w:val="22"/>
          <w:szCs w:val="22"/>
          <w:b w:val="1"/>
          <w:bCs w:val="1"/>
          <w:color w:val="auto"/>
        </w:rPr>
        <w:t>I</w:t>
      </w:r>
      <w:r>
        <w:rPr>
          <w:rFonts w:ascii="Arial" w:cs="Arial" w:eastAsia="Arial" w:hAnsi="Arial"/>
          <w:sz w:val="22"/>
          <w:szCs w:val="22"/>
          <w:color w:val="auto"/>
        </w:rPr>
        <w:t>," "</w:t>
      </w:r>
      <w:r>
        <w:rPr>
          <w:rFonts w:ascii="Arial" w:cs="Arial" w:eastAsia="Arial" w:hAnsi="Arial"/>
          <w:sz w:val="22"/>
          <w:szCs w:val="22"/>
          <w:b w:val="1"/>
          <w:bCs w:val="1"/>
          <w:color w:val="auto"/>
        </w:rPr>
        <w:t>me</w:t>
      </w:r>
      <w:r>
        <w:rPr>
          <w:rFonts w:ascii="Arial" w:cs="Arial" w:eastAsia="Arial" w:hAnsi="Arial"/>
          <w:sz w:val="22"/>
          <w:szCs w:val="22"/>
          <w:color w:val="auto"/>
        </w:rPr>
        <w:t>" or "</w:t>
      </w:r>
      <w:r>
        <w:rPr>
          <w:rFonts w:ascii="Arial" w:cs="Arial" w:eastAsia="Arial" w:hAnsi="Arial"/>
          <w:sz w:val="22"/>
          <w:szCs w:val="22"/>
          <w:b w:val="1"/>
          <w:bCs w:val="1"/>
          <w:color w:val="auto"/>
        </w:rPr>
        <w:t>my</w:t>
      </w:r>
      <w:r>
        <w:rPr>
          <w:rFonts w:ascii="Arial" w:cs="Arial" w:eastAsia="Arial" w:hAnsi="Arial"/>
          <w:sz w:val="22"/>
          <w:szCs w:val="22"/>
          <w:color w:val="auto"/>
        </w:rPr>
        <w:t>").</w:t>
      </w:r>
    </w:p>
    <w:p>
      <w:pPr>
        <w:spacing w:after="0" w:line="212" w:lineRule="exact"/>
        <w:rPr>
          <w:sz w:val="20"/>
          <w:szCs w:val="20"/>
          <w:color w:val="auto"/>
        </w:rPr>
      </w:pPr>
    </w:p>
    <w:p>
      <w:pPr>
        <w:jc w:val="both"/>
        <w:ind w:left="9" w:right="20"/>
        <w:spacing w:after="0" w:line="250" w:lineRule="auto"/>
        <w:rPr>
          <w:sz w:val="20"/>
          <w:szCs w:val="20"/>
          <w:color w:val="auto"/>
        </w:rPr>
      </w:pPr>
      <w:r>
        <w:rPr>
          <w:rFonts w:ascii="Arial" w:cs="Arial" w:eastAsia="Arial" w:hAnsi="Arial"/>
          <w:sz w:val="22"/>
          <w:szCs w:val="22"/>
          <w:color w:val="auto"/>
        </w:rPr>
        <w:t>In consideration for my engagement by the Company, and for other good and valuable consideration, the receipt and sufficiency of which is hereby acknowledged, I hereby agree as follows:</w:t>
      </w:r>
    </w:p>
    <w:p>
      <w:pPr>
        <w:spacing w:after="0" w:line="196" w:lineRule="exact"/>
        <w:rPr>
          <w:sz w:val="20"/>
          <w:szCs w:val="20"/>
          <w:color w:val="auto"/>
        </w:rPr>
      </w:pPr>
    </w:p>
    <w:p>
      <w:pPr>
        <w:ind w:left="749" w:hanging="748"/>
        <w:spacing w:after="0"/>
        <w:tabs>
          <w:tab w:leader="none" w:pos="749"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Inventions and Patents</w:t>
      </w:r>
      <w:r>
        <w:rPr>
          <w:rFonts w:ascii="Arial" w:cs="Arial" w:eastAsia="Arial" w:hAnsi="Arial"/>
          <w:sz w:val="22"/>
          <w:szCs w:val="22"/>
          <w:b w:val="1"/>
          <w:bCs w:val="1"/>
          <w:color w:val="auto"/>
        </w:rPr>
        <w:t>.</w:t>
      </w:r>
    </w:p>
    <w:p>
      <w:pPr>
        <w:spacing w:after="0" w:line="253"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1.1I will promptly and fully disclose to the Company any and all inventions, discoveries, trade secrets and improvements, whether or not patentable and whether or not they are made, conceived or reduced to practice during working hours or using the Company's data or facilities, which I develop, make, conceive or reduce to practice during my engagement with the Company, either solely or jointly with others (collectively, the "</w:t>
      </w:r>
      <w:r>
        <w:rPr>
          <w:rFonts w:ascii="Arial" w:cs="Arial" w:eastAsia="Arial" w:hAnsi="Arial"/>
          <w:sz w:val="19"/>
          <w:szCs w:val="19"/>
          <w:b w:val="1"/>
          <w:bCs w:val="1"/>
          <w:color w:val="auto"/>
        </w:rPr>
        <w:t>Developments</w:t>
      </w:r>
      <w:r>
        <w:rPr>
          <w:rFonts w:ascii="Arial" w:cs="Arial" w:eastAsia="Arial" w:hAnsi="Arial"/>
          <w:sz w:val="19"/>
          <w:szCs w:val="19"/>
          <w:color w:val="auto"/>
        </w:rPr>
        <w:t>"). All Developments shall be the sole property of the Company, and I hereby assign to the Company, without further compensation, all my right, title and interest in and to the Developments and any and all related patents, patent applications, copyrights, copyright applications, trademarks, trademark applications and trade names in the United States and elsewhere. Notwithstanding the foregoing, Developments shall not include any inventions, discoveries, trade secrets or improvements that:</w:t>
      </w:r>
    </w:p>
    <w:p>
      <w:pPr>
        <w:spacing w:after="0" w:line="3" w:lineRule="exact"/>
        <w:rPr>
          <w:sz w:val="20"/>
          <w:szCs w:val="20"/>
          <w:color w:val="auto"/>
        </w:rPr>
      </w:pPr>
    </w:p>
    <w:p>
      <w:pPr>
        <w:jc w:val="both"/>
        <w:ind w:left="9" w:hanging="9"/>
        <w:spacing w:after="0" w:line="234" w:lineRule="auto"/>
        <w:tabs>
          <w:tab w:leader="none" w:pos="283" w:val="left"/>
        </w:tabs>
        <w:numPr>
          <w:ilvl w:val="0"/>
          <w:numId w:val="81"/>
        </w:numPr>
        <w:rPr>
          <w:rFonts w:ascii="Arial" w:cs="Arial" w:eastAsia="Arial" w:hAnsi="Arial"/>
          <w:sz w:val="22"/>
          <w:szCs w:val="22"/>
          <w:color w:val="auto"/>
        </w:rPr>
      </w:pPr>
      <w:r>
        <w:rPr>
          <w:rFonts w:ascii="Arial" w:cs="Arial" w:eastAsia="Arial" w:hAnsi="Arial"/>
          <w:sz w:val="22"/>
          <w:szCs w:val="22"/>
          <w:color w:val="auto"/>
        </w:rPr>
        <w:t>are not made, conceived or reduced to practice during working hours; (ii) are not made, conceived or reduced to practice using the Company’s information, data or facilities; and (iii) do not relate to the present business of the Company, any business that is competitive therewith, or any future business in which the Company engages.</w:t>
      </w:r>
    </w:p>
    <w:p>
      <w:pPr>
        <w:spacing w:after="0" w:line="214" w:lineRule="exact"/>
        <w:rPr>
          <w:sz w:val="20"/>
          <w:szCs w:val="20"/>
          <w:color w:val="auto"/>
        </w:rPr>
      </w:pPr>
    </w:p>
    <w:p>
      <w:pPr>
        <w:jc w:val="both"/>
        <w:ind w:left="9" w:right="20"/>
        <w:spacing w:after="0"/>
        <w:rPr>
          <w:sz w:val="20"/>
          <w:szCs w:val="20"/>
          <w:color w:val="auto"/>
        </w:rPr>
      </w:pPr>
      <w:r>
        <w:rPr>
          <w:rFonts w:ascii="Arial" w:cs="Arial" w:eastAsia="Arial" w:hAnsi="Arial"/>
          <w:sz w:val="22"/>
          <w:szCs w:val="22"/>
          <w:color w:val="auto"/>
        </w:rPr>
        <w:t>1.2I will keep and maintain adequate and current written records of all Developments (in the form of notes, sketches, drawings and as may be specified by the Company), which records shall be available to and remain the sole property of the Company at all times.</w:t>
      </w:r>
    </w:p>
    <w:p>
      <w:pPr>
        <w:spacing w:after="0" w:line="227" w:lineRule="exact"/>
        <w:rPr>
          <w:sz w:val="20"/>
          <w:szCs w:val="20"/>
          <w:color w:val="auto"/>
        </w:rPr>
      </w:pPr>
    </w:p>
    <w:p>
      <w:pPr>
        <w:jc w:val="both"/>
        <w:ind w:left="9"/>
        <w:spacing w:after="0" w:line="274" w:lineRule="auto"/>
        <w:rPr>
          <w:sz w:val="20"/>
          <w:szCs w:val="20"/>
          <w:color w:val="auto"/>
        </w:rPr>
      </w:pPr>
      <w:r>
        <w:rPr>
          <w:rFonts w:ascii="Arial" w:cs="Arial" w:eastAsia="Arial" w:hAnsi="Arial"/>
          <w:sz w:val="19"/>
          <w:szCs w:val="19"/>
          <w:color w:val="auto"/>
        </w:rPr>
        <w:t>1.3I will assist the Company in obtaining and enforcing patent, copyright and other forms of legal protection for the Developments in any country. Upon request, I will sign all applications, assignments, instruments and papers and perform all acts necessary or desired by the Company to assign all such Developments fully and completely to the Company and to enable the Company, its successors, assigns and nominees, to secure and enjoy the full and exclusive benefits and advantages thereof. I understand that my obligations under this Paragraph 1 will continue after the termination of my engagement with the Company and that during my engagement I will perform such obligations without further compensation, except for reimbursement of expenses incurred at the request of the Company. I further understand that if I am requested to perform any obligations under this Paragraph 1 after my engagement with the Company terminates, I shall receive for such performance a reasonable per diem fee, as well as reimbursement of any expenses incurred at the</w:t>
      </w:r>
    </w:p>
    <w:p>
      <w:pPr>
        <w:spacing w:after="0" w:line="37" w:lineRule="exact"/>
        <w:rPr>
          <w:sz w:val="20"/>
          <w:szCs w:val="20"/>
          <w:color w:val="auto"/>
        </w:rPr>
      </w:pPr>
    </w:p>
    <w:p>
      <w:pPr>
        <w:jc w:val="center"/>
        <w:ind w:right="-48"/>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62865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9"/>
          </w:cols>
          <w:pgMar w:left="431" w:top="368" w:right="459" w:bottom="1440" w:gutter="0" w:footer="0" w:header="0"/>
        </w:sectPr>
      </w:pPr>
    </w:p>
    <w:bookmarkStart w:id="140" w:name="page141"/>
    <w:bookmarkEnd w:id="140"/>
    <w:p>
      <w:pPr>
        <w:ind w:left="8"/>
        <w:spacing w:after="0"/>
        <w:rPr>
          <w:sz w:val="20"/>
          <w:szCs w:val="20"/>
          <w:color w:val="auto"/>
        </w:rPr>
      </w:pPr>
      <w:r>
        <w:rPr>
          <w:rFonts w:ascii="Arial" w:cs="Arial" w:eastAsia="Arial" w:hAnsi="Arial"/>
          <w:sz w:val="22"/>
          <w:szCs w:val="22"/>
          <w:color w:val="auto"/>
        </w:rPr>
        <w:t>request of the Company.</w:t>
      </w:r>
    </w:p>
    <w:p>
      <w:pPr>
        <w:spacing w:after="0" w:line="260" w:lineRule="exact"/>
        <w:rPr>
          <w:sz w:val="20"/>
          <w:szCs w:val="20"/>
          <w:color w:val="auto"/>
        </w:rPr>
      </w:pPr>
    </w:p>
    <w:p>
      <w:pPr>
        <w:jc w:val="both"/>
        <w:ind w:left="8"/>
        <w:spacing w:after="0" w:line="244" w:lineRule="auto"/>
        <w:rPr>
          <w:sz w:val="20"/>
          <w:szCs w:val="20"/>
          <w:color w:val="auto"/>
        </w:rPr>
      </w:pPr>
      <w:r>
        <w:rPr>
          <w:rFonts w:ascii="Arial" w:cs="Arial" w:eastAsia="Arial" w:hAnsi="Arial"/>
          <w:sz w:val="21"/>
          <w:szCs w:val="21"/>
          <w:color w:val="auto"/>
        </w:rPr>
        <w:t>1.4In addition to my agreements set forth in subparagraph 1.3, I hereby constitute and appoint the Company, its successors and assigns, my true and lawful attorney, with full power of substitution for me, and in my name, place and stead or otherwise, but on behalf of and for the benefit of the Company, its successors and assigns, to take all actions and execute all documents on behalf of me necessary to effect the assignment set forth in subparagraph 1.1, and from time to time to institute and prosecute in my name or otherwise, but at the direction and expense and for the benefit of the Company and its successors and assigns, any and all proceedings at law, in equity or otherwise, which the Company, its successors or assigns may deem proper in order to collect, assert or enforce any claim, right or title of any kind in and to the Developments and to defend and compromise any and all actions, suits and proceedings in respect of any of the Developments and to do any and all such acts and things in relation thereto as the Company, its successors or assigns shall deem advisable, and I hereby declare that the appointment hereby made and the powers hereby granted are coupled with an interest and are and shall be irrevocable by me in any manner or for any reason.</w:t>
      </w:r>
    </w:p>
    <w:p>
      <w:pPr>
        <w:spacing w:after="0" w:line="215"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 xml:space="preserve">1.5In order to avoid disputes over the application of this assignment to prior inventions or copyrightable materials, I have listed on </w:t>
      </w:r>
      <w:r>
        <w:rPr>
          <w:rFonts w:ascii="Arial" w:cs="Arial" w:eastAsia="Arial" w:hAnsi="Arial"/>
          <w:sz w:val="22"/>
          <w:szCs w:val="22"/>
          <w:b w:val="1"/>
          <w:bCs w:val="1"/>
          <w:u w:val="single" w:color="auto"/>
          <w:color w:val="auto"/>
        </w:rPr>
        <w:t>Schedule A</w:t>
      </w:r>
      <w:r>
        <w:rPr>
          <w:rFonts w:ascii="Arial" w:cs="Arial" w:eastAsia="Arial" w:hAnsi="Arial"/>
          <w:sz w:val="22"/>
          <w:szCs w:val="22"/>
          <w:color w:val="auto"/>
        </w:rPr>
        <w:t xml:space="preserve"> to this Agreement descriptions of patentable inventions and copyrightable materials that I have developed and/or reduced to practice prior to my engagement with the Company and that I believe are, accordingly, excepted from the provisions of this Paragraph 1.</w:t>
      </w:r>
    </w:p>
    <w:p>
      <w:pPr>
        <w:spacing w:after="0" w:line="219" w:lineRule="exact"/>
        <w:rPr>
          <w:sz w:val="20"/>
          <w:szCs w:val="20"/>
          <w:color w:val="auto"/>
        </w:rPr>
      </w:pPr>
    </w:p>
    <w:p>
      <w:pPr>
        <w:ind w:left="748" w:hanging="748"/>
        <w:spacing w:after="0"/>
        <w:tabs>
          <w:tab w:leader="none" w:pos="748"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Information</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left="8"/>
        <w:spacing w:after="0" w:line="273" w:lineRule="auto"/>
        <w:rPr>
          <w:sz w:val="20"/>
          <w:szCs w:val="20"/>
          <w:color w:val="auto"/>
        </w:rPr>
      </w:pPr>
      <w:r>
        <w:rPr>
          <w:rFonts w:ascii="Arial" w:cs="Arial" w:eastAsia="Arial" w:hAnsi="Arial"/>
          <w:sz w:val="19"/>
          <w:szCs w:val="19"/>
          <w:color w:val="auto"/>
        </w:rPr>
        <w:t>2.1I recognize that my relationship with the Company is one of high trust and confidence by reason of my access to and contact with the trade secrets and confidential and proprietary information of the Company and of others through the Company. I will not at any time, either during my engagement with the Company or thereafter, disclose to others, or use for my own benefit or the benefit of others, any of the Developments or any confidential, proprietary or secret information owned, possessed or used by the Company (collectively, "</w:t>
      </w:r>
      <w:r>
        <w:rPr>
          <w:rFonts w:ascii="Arial" w:cs="Arial" w:eastAsia="Arial" w:hAnsi="Arial"/>
          <w:sz w:val="19"/>
          <w:szCs w:val="19"/>
          <w:b w:val="1"/>
          <w:bCs w:val="1"/>
          <w:color w:val="auto"/>
        </w:rPr>
        <w:t>Proprietary Information</w:t>
      </w:r>
      <w:r>
        <w:rPr>
          <w:rFonts w:ascii="Arial" w:cs="Arial" w:eastAsia="Arial" w:hAnsi="Arial"/>
          <w:sz w:val="19"/>
          <w:szCs w:val="19"/>
          <w:color w:val="auto"/>
        </w:rPr>
        <w:t>"). Such property shall not be erased, discarded or destroyed without specific instructions from the Company to do so. By way of illustration, but not limitation, Proprietary Information includes trade secrets, processes, data, knowhow, marketing plans, forecasts, financial statements, budgets, licenses, prices, costs and employee, customer and supplier lists. I understand that the Company from time to time has in its possession information which is claimed by others to be proprietary and which the Company has agreed to keep confidential. I agree that all such information shall be Proprietary Information for purposes of this Agreement.</w:t>
      </w:r>
    </w:p>
    <w:p>
      <w:pPr>
        <w:spacing w:after="0" w:line="201" w:lineRule="exact"/>
        <w:rPr>
          <w:sz w:val="20"/>
          <w:szCs w:val="20"/>
          <w:color w:val="auto"/>
        </w:rPr>
      </w:pPr>
    </w:p>
    <w:p>
      <w:pPr>
        <w:jc w:val="both"/>
        <w:ind w:left="8"/>
        <w:spacing w:after="0" w:line="235" w:lineRule="auto"/>
        <w:rPr>
          <w:sz w:val="20"/>
          <w:szCs w:val="20"/>
          <w:color w:val="auto"/>
        </w:rPr>
      </w:pPr>
      <w:r>
        <w:rPr>
          <w:rFonts w:ascii="Arial" w:cs="Arial" w:eastAsia="Arial" w:hAnsi="Arial"/>
          <w:sz w:val="22"/>
          <w:szCs w:val="22"/>
          <w:color w:val="auto"/>
        </w:rPr>
        <w:t>2.2My undertaking and obligations under this Paragraph 2 will not apply, however, to any Proprietary Information which: (i) is or becomes generally known to the public through no action on my part; (ii) is generally disclosed to third parties by the Company without restriction on such third parties; (iii) is approved for release by written authorization of the Board of Directors of the Company; or (iv) is required to be disclosed pursuant to subpoena, order of judicial or administrative authority, or in connection with judicial proceedings to which the Company or I am a party, provided that I shall have given the Company written notice of such disclosure at least 14</w:t>
      </w:r>
    </w:p>
    <w:p>
      <w:pPr>
        <w:spacing w:after="0" w:line="66"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62865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32" w:top="320" w:right="459" w:bottom="1440" w:gutter="0" w:footer="0" w:header="0"/>
        </w:sectPr>
      </w:pPr>
    </w:p>
    <w:bookmarkStart w:id="141" w:name="page142"/>
    <w:bookmarkEnd w:id="141"/>
    <w:p>
      <w:pPr>
        <w:jc w:val="both"/>
        <w:ind w:left="8"/>
        <w:spacing w:after="0" w:line="328" w:lineRule="auto"/>
        <w:rPr>
          <w:sz w:val="20"/>
          <w:szCs w:val="20"/>
          <w:color w:val="auto"/>
        </w:rPr>
      </w:pPr>
      <w:r>
        <w:rPr>
          <w:rFonts w:ascii="Arial" w:cs="Arial" w:eastAsia="Arial" w:hAnsi="Arial"/>
          <w:sz w:val="19"/>
          <w:szCs w:val="19"/>
          <w:color w:val="auto"/>
        </w:rPr>
        <w:t>days prior to such disclosure in order to provide the Company with an opportunity to oppose and/or object to such disclosure and any such disclosure is subject to all applicable governmental and judicial protection available for like material.</w:t>
      </w:r>
    </w:p>
    <w:p>
      <w:pPr>
        <w:spacing w:after="0" w:line="159" w:lineRule="exact"/>
        <w:rPr>
          <w:sz w:val="20"/>
          <w:szCs w:val="20"/>
          <w:color w:val="auto"/>
        </w:rPr>
      </w:pPr>
    </w:p>
    <w:p>
      <w:pPr>
        <w:jc w:val="both"/>
        <w:ind w:left="8"/>
        <w:spacing w:after="0" w:line="249" w:lineRule="auto"/>
        <w:rPr>
          <w:sz w:val="20"/>
          <w:szCs w:val="20"/>
          <w:color w:val="auto"/>
        </w:rPr>
      </w:pPr>
      <w:r>
        <w:rPr>
          <w:rFonts w:ascii="Arial" w:cs="Arial" w:eastAsia="Arial" w:hAnsi="Arial"/>
          <w:sz w:val="21"/>
          <w:szCs w:val="21"/>
          <w:color w:val="auto"/>
        </w:rPr>
        <w:t>2.3Upon termination of my engagement with the Company or at any other time upon request, I will promptly deliver to the Company all copies of computer programs, specifications, drawings, blueprints, data storage devices, notes, memoranda, notebooks, drawings, records, reports, files and other documents (and all copies or reproductions of such materials) in my possession or under my control, whether prepared by me or others, in whatever form on whatever medium, which contain Proprietary Information. I acknowledge that this material is the sole property of the Company.</w:t>
      </w:r>
    </w:p>
    <w:p>
      <w:pPr>
        <w:spacing w:after="0" w:line="219"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2.4If requested to do so by the Company, I agree to sign a Termination Certificate in which I confirm that I have complied with the requirements of the preceding paragraph and that I am aware that certain restrictions imposed upon me by this Agreement continue after termination of my engagement. I understand, however, that my rights and obligations under this Agreement will continue even if I do not sign a Termination Certificate.</w:t>
      </w:r>
    </w:p>
    <w:p>
      <w:pPr>
        <w:spacing w:after="0" w:line="206" w:lineRule="exact"/>
        <w:rPr>
          <w:sz w:val="20"/>
          <w:szCs w:val="20"/>
          <w:color w:val="auto"/>
        </w:rPr>
      </w:pPr>
    </w:p>
    <w:p>
      <w:pPr>
        <w:ind w:left="748" w:hanging="748"/>
        <w:spacing w:after="0"/>
        <w:tabs>
          <w:tab w:leader="none" w:pos="748"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Absence of Restrictions Upon Disclosure and Competition</w:t>
      </w:r>
      <w:r>
        <w:rPr>
          <w:rFonts w:ascii="Arial" w:cs="Arial" w:eastAsia="Arial" w:hAnsi="Arial"/>
          <w:sz w:val="22"/>
          <w:szCs w:val="22"/>
          <w:b w:val="1"/>
          <w:bCs w:val="1"/>
          <w:color w:val="auto"/>
        </w:rPr>
        <w:t>.</w:t>
      </w:r>
    </w:p>
    <w:p>
      <w:pPr>
        <w:spacing w:after="0" w:line="247" w:lineRule="exact"/>
        <w:rPr>
          <w:sz w:val="20"/>
          <w:szCs w:val="20"/>
          <w:color w:val="auto"/>
        </w:rPr>
      </w:pPr>
    </w:p>
    <w:p>
      <w:pPr>
        <w:jc w:val="both"/>
        <w:ind w:left="8"/>
        <w:spacing w:after="0" w:line="289" w:lineRule="auto"/>
        <w:rPr>
          <w:sz w:val="20"/>
          <w:szCs w:val="20"/>
          <w:color w:val="auto"/>
        </w:rPr>
      </w:pPr>
      <w:r>
        <w:rPr>
          <w:rFonts w:ascii="Arial" w:cs="Arial" w:eastAsia="Arial" w:hAnsi="Arial"/>
          <w:sz w:val="19"/>
          <w:szCs w:val="19"/>
          <w:color w:val="auto"/>
        </w:rPr>
        <w:t xml:space="preserve">3.1I hereby represent that, except as I have disclosed in writing to the Company, and included in </w:t>
      </w:r>
      <w:r>
        <w:rPr>
          <w:rFonts w:ascii="Arial" w:cs="Arial" w:eastAsia="Arial" w:hAnsi="Arial"/>
          <w:sz w:val="19"/>
          <w:szCs w:val="19"/>
          <w:b w:val="1"/>
          <w:bCs w:val="1"/>
          <w:u w:val="single" w:color="auto"/>
          <w:color w:val="auto"/>
        </w:rPr>
        <w:t>Schedule A</w:t>
      </w:r>
      <w:r>
        <w:rPr>
          <w:rFonts w:ascii="Arial" w:cs="Arial" w:eastAsia="Arial" w:hAnsi="Arial"/>
          <w:sz w:val="19"/>
          <w:szCs w:val="19"/>
          <w:color w:val="auto"/>
        </w:rPr>
        <w:t xml:space="preserve"> to this Agreement, I am not bound by the terms of any agreement with any previous employer or other party to refrain from using or disclosing any trade secret or confidential or proprietary information in the course of my engagement with the Company or to refrain from competing, directly or indirectly, with the business of such previous employer or any other party.</w:t>
      </w:r>
    </w:p>
    <w:p>
      <w:pPr>
        <w:spacing w:after="0" w:line="182"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9"/>
          <w:szCs w:val="19"/>
          <w:color w:val="auto"/>
        </w:rPr>
        <w:t>3.2I further represent that my performance of all the terms of this Agreement and my engagement with of the Company does not and will not breach any agreement to keep in confidence proprietary information, knowledge or data acquired by me in confidence or in trust prior to my engagement with the Company, and I will not disclose to the Company or induce the Company to use any confidential information or material belonging to any previous employer or others.</w:t>
      </w:r>
    </w:p>
    <w:p>
      <w:pPr>
        <w:spacing w:after="0" w:line="164" w:lineRule="exact"/>
        <w:rPr>
          <w:sz w:val="20"/>
          <w:szCs w:val="20"/>
          <w:color w:val="auto"/>
        </w:rPr>
      </w:pPr>
    </w:p>
    <w:p>
      <w:pPr>
        <w:ind w:left="748" w:hanging="748"/>
        <w:spacing w:after="0"/>
        <w:tabs>
          <w:tab w:leader="none" w:pos="748"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Non-Compete/Non-Solicitation</w:t>
      </w:r>
      <w:r>
        <w:rPr>
          <w:rFonts w:ascii="Arial" w:cs="Arial" w:eastAsia="Arial" w:hAnsi="Arial"/>
          <w:sz w:val="22"/>
          <w:szCs w:val="22"/>
          <w:b w:val="1"/>
          <w:bCs w:val="1"/>
          <w:color w:val="auto"/>
        </w:rPr>
        <w:t>.</w:t>
      </w:r>
    </w:p>
    <w:p>
      <w:pPr>
        <w:spacing w:after="0" w:line="253"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4.1For so long as I am engaged with the Company and for a period of 12 full months thereafter, I will not, without the express written consent of the Company, directly or indirectly, engage in, participate in, or assist, as owner, part-owner, partner, director, officer, trustee, employee, agent or consultant, or in any other capacity, any business organization or person, do business that is related to internet based behavioral health platforms.</w:t>
      </w:r>
    </w:p>
    <w:p>
      <w:pPr>
        <w:spacing w:after="0" w:line="225"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9"/>
          <w:szCs w:val="19"/>
          <w:color w:val="auto"/>
        </w:rPr>
        <w:t>4.2I recognize that these restrictions on competition are reasonable because of the Company’s investment in good will and in its customer lists and other proprietary information and my knowledge of the Company’s business and business plans. However if any period of time or geographical area should be judged unreasonable in any judicial proceeding, then the period of time or geographical area shall be reduced to such extent as may be deemed required so as to be reasonable and enforceable.</w:t>
      </w:r>
    </w:p>
    <w:p>
      <w:pPr>
        <w:spacing w:after="0" w:line="8"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62865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32" w:top="320" w:right="459" w:bottom="1440" w:gutter="0" w:footer="0" w:header="0"/>
        </w:sectPr>
      </w:pPr>
    </w:p>
    <w:bookmarkStart w:id="142" w:name="page143"/>
    <w:bookmarkEnd w:id="142"/>
    <w:p>
      <w:pPr>
        <w:jc w:val="both"/>
        <w:ind w:left="8" w:right="20"/>
        <w:spacing w:after="0" w:line="250" w:lineRule="auto"/>
        <w:rPr>
          <w:sz w:val="20"/>
          <w:szCs w:val="20"/>
          <w:color w:val="auto"/>
        </w:rPr>
      </w:pPr>
      <w:r>
        <w:rPr>
          <w:rFonts w:ascii="Arial" w:cs="Arial" w:eastAsia="Arial" w:hAnsi="Arial"/>
          <w:sz w:val="22"/>
          <w:szCs w:val="22"/>
          <w:color w:val="auto"/>
        </w:rPr>
        <w:t>4.3During my engagement with the Company and for 12 full months thereafter, I will notify the Company in the event I take up a position of any sort with any company or person whose</w:t>
      </w:r>
    </w:p>
    <w:p>
      <w:pPr>
        <w:spacing w:after="0" w:line="229" w:lineRule="exact"/>
        <w:rPr>
          <w:sz w:val="20"/>
          <w:szCs w:val="20"/>
          <w:color w:val="auto"/>
        </w:rPr>
      </w:pPr>
    </w:p>
    <w:p>
      <w:pPr>
        <w:ind w:left="8"/>
        <w:spacing w:after="0"/>
        <w:rPr>
          <w:sz w:val="20"/>
          <w:szCs w:val="20"/>
          <w:color w:val="auto"/>
        </w:rPr>
      </w:pPr>
      <w:r>
        <w:rPr>
          <w:rFonts w:ascii="Arial" w:cs="Arial" w:eastAsia="Arial" w:hAnsi="Arial"/>
          <w:sz w:val="22"/>
          <w:szCs w:val="22"/>
          <w:color w:val="auto"/>
        </w:rPr>
        <w:t>activities or products are directly or indirectly competitive with activities or products of the Company.</w:t>
      </w:r>
    </w:p>
    <w:p>
      <w:pPr>
        <w:spacing w:after="0" w:line="233"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4.4I shall not recruit or otherwise solicit or induce any employees of the Company, to terminate their engagement with, or otherwise cease their relationships with, the Company or any of its subsidiaries during my engagement with the Company and for a period of 12 full months thereafter. In addition, I shall not recruit or otherwise solicit any person who was an employee of the Company during any time within six (6) months prior to the end of my engagement with the Company.</w:t>
      </w:r>
    </w:p>
    <w:p>
      <w:pPr>
        <w:spacing w:after="0" w:line="177" w:lineRule="exact"/>
        <w:rPr>
          <w:sz w:val="20"/>
          <w:szCs w:val="20"/>
          <w:color w:val="auto"/>
        </w:rPr>
      </w:pPr>
    </w:p>
    <w:p>
      <w:pPr>
        <w:ind w:left="748" w:hanging="748"/>
        <w:spacing w:after="0"/>
        <w:tabs>
          <w:tab w:leader="none" w:pos="748"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Obligations</w:t>
      </w:r>
      <w:r>
        <w:rPr>
          <w:rFonts w:ascii="Arial" w:cs="Arial" w:eastAsia="Arial" w:hAnsi="Arial"/>
          <w:sz w:val="22"/>
          <w:szCs w:val="22"/>
          <w:b w:val="1"/>
          <w:bCs w:val="1"/>
          <w:color w:val="auto"/>
        </w:rPr>
        <w:t>.</w:t>
      </w:r>
    </w:p>
    <w:p>
      <w:pPr>
        <w:spacing w:after="0" w:line="253"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5.1I acknowledge that the Company from time to time may have agreements with others which impose obligations or restrictions on the Company regarding inventions made during the course of work under such agreements or regarding the confidential nature of such work. I agree to be bound by all such obligations and restrictions which are made known to me and to take all action necessary to discharge the obligations of the Company under such agreements.</w:t>
      </w:r>
    </w:p>
    <w:p>
      <w:pPr>
        <w:spacing w:after="0" w:line="3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5.2Talkspace contracts with Therapist Consultants to provide certain services and acts, in this respect, as a “Business Associate/ Covered Entity.” As an Employee, you may incidentally or inadvertently encounter, view or access certain Confidential Information maintained by Talkspace which may qualify as Protected Health Information (“</w:t>
      </w:r>
      <w:r>
        <w:rPr>
          <w:rFonts w:ascii="Arial" w:cs="Arial" w:eastAsia="Arial" w:hAnsi="Arial"/>
          <w:sz w:val="19"/>
          <w:szCs w:val="19"/>
          <w:b w:val="1"/>
          <w:bCs w:val="1"/>
          <w:color w:val="auto"/>
        </w:rPr>
        <w:t>PHI</w:t>
      </w:r>
      <w:r>
        <w:rPr>
          <w:rFonts w:ascii="Arial" w:cs="Arial" w:eastAsia="Arial" w:hAnsi="Arial"/>
          <w:sz w:val="19"/>
          <w:szCs w:val="19"/>
          <w:color w:val="auto"/>
        </w:rPr>
        <w:t>”) or electronic PHI within the meaning of the Health Insurance Portability and Accountability Act of 1996, as amended, and the privacy and security standards promulgated pursuant thereto (“</w:t>
      </w:r>
      <w:r>
        <w:rPr>
          <w:rFonts w:ascii="Arial" w:cs="Arial" w:eastAsia="Arial" w:hAnsi="Arial"/>
          <w:sz w:val="19"/>
          <w:szCs w:val="19"/>
          <w:b w:val="1"/>
          <w:bCs w:val="1"/>
          <w:color w:val="auto"/>
        </w:rPr>
        <w:t>HIPAA</w:t>
      </w:r>
      <w:r>
        <w:rPr>
          <w:rFonts w:ascii="Arial" w:cs="Arial" w:eastAsia="Arial" w:hAnsi="Arial"/>
          <w:sz w:val="19"/>
          <w:szCs w:val="19"/>
          <w:color w:val="auto"/>
        </w:rPr>
        <w:t>”). In this case, the definition of “Confidential Information” means any and all non-public, medical, financial and personal information in whatever form (written, oral, visual or electronic) possessed or obtained by either party. Confidential Information shall include all information which (i) either party has labeled in writing as confidential, (ii) is identified at the time of disclosure as confidential, (iii) is commonly regarded as confidential in the health care industry, or (iv) is PHI as defined by HIPAA. You agree that while working with Talkspace to maintain the confidentiality of any PHI that you may incidentally or inadvertent encounter, view or have access as part of your employment. You also agree not to further use or disclose any PHI that you incidentally or inadvertently view or obtains access to and further agree to implement appropriate safeguards to prevent any further use or disclosure of any PHI that you incidentally or inadvertently access. You agree to comply with all applicable laws and regulations, including HIPAA and the HITECH Act, to the extent applicable in your employment, to fulfill your obligations under this Agreement.</w:t>
      </w:r>
    </w:p>
    <w:p>
      <w:pPr>
        <w:spacing w:after="0" w:line="293" w:lineRule="exact"/>
        <w:rPr>
          <w:sz w:val="20"/>
          <w:szCs w:val="20"/>
          <w:color w:val="auto"/>
        </w:rPr>
      </w:pPr>
    </w:p>
    <w:p>
      <w:pPr>
        <w:ind w:left="748" w:hanging="748"/>
        <w:spacing w:after="0"/>
        <w:tabs>
          <w:tab w:leader="none" w:pos="748"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53" w:lineRule="exact"/>
        <w:rPr>
          <w:sz w:val="20"/>
          <w:szCs w:val="20"/>
          <w:color w:val="auto"/>
        </w:rPr>
      </w:pPr>
    </w:p>
    <w:p>
      <w:pPr>
        <w:ind w:left="8" w:right="20"/>
        <w:spacing w:after="0" w:line="250" w:lineRule="auto"/>
        <w:rPr>
          <w:sz w:val="20"/>
          <w:szCs w:val="20"/>
          <w:color w:val="auto"/>
        </w:rPr>
      </w:pPr>
      <w:r>
        <w:rPr>
          <w:rFonts w:ascii="Arial" w:cs="Arial" w:eastAsia="Arial" w:hAnsi="Arial"/>
          <w:sz w:val="22"/>
          <w:szCs w:val="22"/>
          <w:color w:val="auto"/>
        </w:rPr>
        <w:t>6.1The partial or complete invalidity or unenforceability of any provision of this Agreement shall not affect the validity or enforceability of any other provision of this Agreement.</w:t>
      </w:r>
    </w:p>
    <w:p>
      <w:pPr>
        <w:spacing w:after="0" w:line="256"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62865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32" w:top="577" w:right="459" w:bottom="1440" w:gutter="0" w:footer="0" w:header="0"/>
        </w:sectPr>
      </w:pPr>
    </w:p>
    <w:bookmarkStart w:id="143" w:name="page144"/>
    <w:bookmarkEnd w:id="143"/>
    <w:p>
      <w:pPr>
        <w:jc w:val="both"/>
        <w:ind w:right="20"/>
        <w:spacing w:after="0" w:line="297" w:lineRule="auto"/>
        <w:rPr>
          <w:sz w:val="20"/>
          <w:szCs w:val="20"/>
          <w:color w:val="auto"/>
        </w:rPr>
      </w:pPr>
      <w:r>
        <w:rPr>
          <w:rFonts w:ascii="Arial" w:cs="Arial" w:eastAsia="Arial" w:hAnsi="Arial"/>
          <w:sz w:val="19"/>
          <w:szCs w:val="19"/>
          <w:color w:val="auto"/>
        </w:rPr>
        <w:t>6.2This Agreement supersedes all prior agreements, written or oral, between me and the Company relating to the subject matter of this Agreement. This Agreement may not be modified, changed or discharged in whole or in part, except by an agreement in writing signed by me and the Company. This Agreement does not constitute an engagement agreement, and no</w:t>
      </w:r>
    </w:p>
    <w:p>
      <w:pPr>
        <w:spacing w:after="0" w:line="188"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changes in my compensation, title or duties or any other terms or conditions of my engagement, including, without limitation, the termination of my engagement, shall affect the provisions of this Agreement except as stated herein.</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6.3As used herein, the term “Company” shall include </w:t>
      </w:r>
      <w:r>
        <w:rPr>
          <w:rFonts w:ascii="Arial" w:cs="Arial" w:eastAsia="Arial" w:hAnsi="Arial"/>
          <w:sz w:val="22"/>
          <w:szCs w:val="22"/>
          <w:b w:val="1"/>
          <w:bCs w:val="1"/>
          <w:color w:val="auto"/>
        </w:rPr>
        <w:t>Talkspace Inc., Talkspace, Talkspace Network LLC,</w:t>
      </w:r>
      <w:r>
        <w:rPr>
          <w:rFonts w:ascii="Arial" w:cs="Arial" w:eastAsia="Arial" w:hAnsi="Arial"/>
          <w:sz w:val="22"/>
          <w:szCs w:val="22"/>
          <w:color w:val="auto"/>
        </w:rPr>
        <w:t xml:space="preserve"> and any of its predecessors, subsidiaries, subdivisions or affiliates. The Company shall have the right to assign this Agreement to its successors and assigns and all covenants and agreements hereunder shall inure to the benefit of and be enforceable by said successors or assigns. I agree not to assign any of my obligations under this Agreement. This Agreement will be binding upon my heirs, executors and administrators.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6.4No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21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6.5I expressly consent to be bound by the provisions of this Agreement for the benefit of the Company or any subsidiary or affiliate thereof to whom my engagement may be transferred without the necessity that this Agreement be re-signed at the time of such transfer.</w:t>
      </w:r>
    </w:p>
    <w:p>
      <w:pPr>
        <w:spacing w:after="0" w:line="21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6.6This Agreement shall be deemed to be a sealed instrument and shall be governed by and construed in accordance with the laws of the State of Delaware. I hereby expressly consent to the jurisdiction of the courts of the state where the Company has its principal place of business in the United States (currently New York) to adjudicate any dispute arising under this Agreement.</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6.7I recognize that irreparable damages would be caused to the Company, and that monetary damages would not compensate the Company for its loss, should I breach the terms of this Agreement. Accordingly, in addition to all other remedies available to the Company at law or in equity, upon a showing by the Company that I have violated or am about to violate the terms of this Agreement, I hereby consent to the entry by a court of competent jurisdiction of an injunction or declaratory judgment enforcing the terms of this Agreement, including without limitation preventing disclosure or further disclosure by me of Proprietary Information.</w:t>
      </w:r>
    </w:p>
    <w:p>
      <w:pPr>
        <w:spacing w:after="0" w:line="228" w:lineRule="exact"/>
        <w:rPr>
          <w:sz w:val="20"/>
          <w:szCs w:val="20"/>
          <w:color w:val="auto"/>
        </w:rPr>
      </w:pPr>
    </w:p>
    <w:p>
      <w:pPr>
        <w:jc w:val="both"/>
        <w:spacing w:after="0"/>
        <w:rPr>
          <w:sz w:val="20"/>
          <w:szCs w:val="20"/>
          <w:color w:val="auto"/>
        </w:rPr>
      </w:pPr>
      <w:r>
        <w:rPr>
          <w:rFonts w:ascii="Arial" w:cs="Arial" w:eastAsia="Arial" w:hAnsi="Arial"/>
          <w:sz w:val="22"/>
          <w:szCs w:val="22"/>
          <w:color w:val="auto"/>
        </w:rPr>
        <w:t>6.8If any one or more provisions of this Agreement shall for any reason be held to be excessively broad as to time, duration, geographical scope, activity or subject, it shall be construed, by limiting and reducing it, so as to be enforceable to the extent compatible with the applicable law as it shall then appear.</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20" w:right="459" w:bottom="1440" w:gutter="0" w:footer="0" w:header="0"/>
        </w:sectPr>
      </w:pPr>
    </w:p>
    <w:bookmarkStart w:id="144" w:name="page145"/>
    <w:bookmarkEnd w:id="144"/>
    <w:p>
      <w:pPr>
        <w:ind w:left="120" w:right="140"/>
        <w:spacing w:after="0" w:line="250" w:lineRule="auto"/>
        <w:rPr>
          <w:sz w:val="20"/>
          <w:szCs w:val="20"/>
          <w:color w:val="auto"/>
        </w:rPr>
      </w:pPr>
      <w:r>
        <w:rPr>
          <w:rFonts w:ascii="Arial" w:cs="Arial" w:eastAsia="Arial" w:hAnsi="Arial"/>
          <w:sz w:val="22"/>
          <w:szCs w:val="22"/>
          <w:color w:val="auto"/>
        </w:rPr>
        <w:t>I HAVE READ ALL OF THE PROVISIONS OF THIS AGREEMENT AND I UNDERSTAND, AND AGREE TO, EACH OF SUCH PROVISIONS, EFFECTIVE AS OF THE DATE FIRST ENTERED ABOVE.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00" w:type="dxa"/>
            <w:vAlign w:val="bottom"/>
          </w:tcPr>
          <w:p>
            <w:pPr>
              <w:ind w:left="120"/>
              <w:spacing w:after="0"/>
              <w:rPr>
                <w:sz w:val="20"/>
                <w:szCs w:val="20"/>
                <w:color w:val="auto"/>
              </w:rPr>
            </w:pPr>
            <w:r>
              <w:rPr>
                <w:rFonts w:ascii="Arial" w:cs="Arial" w:eastAsia="Arial" w:hAnsi="Arial"/>
                <w:sz w:val="22"/>
                <w:szCs w:val="22"/>
                <w:color w:val="auto"/>
              </w:rPr>
              <w:t>Accepted and Agreed:</w:t>
            </w:r>
          </w:p>
        </w:tc>
        <w:tc>
          <w:tcPr>
            <w:tcW w:w="6840" w:type="dxa"/>
            <w:vAlign w:val="bottom"/>
          </w:tcPr>
          <w:p>
            <w:pPr>
              <w:spacing w:after="0"/>
              <w:rPr>
                <w:sz w:val="23"/>
                <w:szCs w:val="23"/>
                <w:color w:val="auto"/>
              </w:rPr>
            </w:pPr>
          </w:p>
        </w:tc>
      </w:tr>
      <w:tr>
        <w:trPr>
          <w:trHeight w:val="486"/>
        </w:trPr>
        <w:tc>
          <w:tcPr>
            <w:tcW w:w="4400" w:type="dxa"/>
            <w:vAlign w:val="bottom"/>
          </w:tcPr>
          <w:p>
            <w:pPr>
              <w:ind w:left="20"/>
              <w:spacing w:after="0"/>
              <w:rPr>
                <w:sz w:val="20"/>
                <w:szCs w:val="20"/>
                <w:color w:val="auto"/>
              </w:rPr>
            </w:pPr>
            <w:r>
              <w:rPr>
                <w:rFonts w:ascii="Arial" w:cs="Arial" w:eastAsia="Arial" w:hAnsi="Arial"/>
                <w:sz w:val="22"/>
                <w:szCs w:val="22"/>
                <w:b w:val="1"/>
                <w:bCs w:val="1"/>
                <w:color w:val="auto"/>
              </w:rPr>
              <w:t>Talkspace Inc.</w:t>
            </w:r>
          </w:p>
        </w:tc>
        <w:tc>
          <w:tcPr>
            <w:tcW w:w="6840" w:type="dxa"/>
            <w:vAlign w:val="bottom"/>
          </w:tcPr>
          <w:p>
            <w:pPr>
              <w:ind w:left="2380"/>
              <w:spacing w:after="0"/>
              <w:rPr>
                <w:sz w:val="20"/>
                <w:szCs w:val="20"/>
                <w:color w:val="auto"/>
              </w:rPr>
            </w:pPr>
            <w:r>
              <w:rPr>
                <w:rFonts w:ascii="Arial" w:cs="Arial" w:eastAsia="Arial" w:hAnsi="Arial"/>
                <w:sz w:val="22"/>
                <w:szCs w:val="22"/>
                <w:b w:val="1"/>
                <w:bCs w:val="1"/>
                <w:color w:val="auto"/>
              </w:rPr>
              <w:t>Gil Margolin</w:t>
            </w:r>
          </w:p>
        </w:tc>
      </w:tr>
      <w:tr>
        <w:trPr>
          <w:trHeight w:val="414"/>
        </w:trPr>
        <w:tc>
          <w:tcPr>
            <w:tcW w:w="4400" w:type="dxa"/>
            <w:vAlign w:val="bottom"/>
          </w:tcPr>
          <w:p>
            <w:pPr>
              <w:ind w:left="20"/>
              <w:spacing w:after="0"/>
              <w:rPr>
                <w:sz w:val="20"/>
                <w:szCs w:val="20"/>
                <w:color w:val="auto"/>
              </w:rPr>
            </w:pPr>
            <w:r>
              <w:rPr>
                <w:rFonts w:ascii="Arial" w:cs="Arial" w:eastAsia="Arial" w:hAnsi="Arial"/>
                <w:sz w:val="22"/>
                <w:szCs w:val="22"/>
                <w:color w:val="auto"/>
              </w:rPr>
              <w:t>/s/ Oren Frank</w:t>
            </w:r>
          </w:p>
        </w:tc>
        <w:tc>
          <w:tcPr>
            <w:tcW w:w="6840" w:type="dxa"/>
            <w:vAlign w:val="bottom"/>
          </w:tcPr>
          <w:p>
            <w:pPr>
              <w:ind w:left="2380"/>
              <w:spacing w:after="0"/>
              <w:rPr>
                <w:sz w:val="20"/>
                <w:szCs w:val="20"/>
                <w:color w:val="auto"/>
              </w:rPr>
            </w:pPr>
            <w:r>
              <w:rPr>
                <w:rFonts w:ascii="Arial" w:cs="Arial" w:eastAsia="Arial" w:hAnsi="Arial"/>
                <w:sz w:val="22"/>
                <w:szCs w:val="22"/>
                <w:color w:val="auto"/>
              </w:rPr>
              <w:t>/s/ Gil Margolin</w:t>
            </w:r>
          </w:p>
        </w:tc>
      </w:tr>
      <w:tr>
        <w:trPr>
          <w:trHeight w:val="229"/>
        </w:trPr>
        <w:tc>
          <w:tcPr>
            <w:tcW w:w="4400" w:type="dxa"/>
            <w:vAlign w:val="bottom"/>
          </w:tcPr>
          <w:p>
            <w:pPr>
              <w:ind w:left="20"/>
              <w:spacing w:after="0" w:line="229" w:lineRule="exact"/>
              <w:rPr>
                <w:sz w:val="20"/>
                <w:szCs w:val="20"/>
                <w:color w:val="auto"/>
              </w:rPr>
            </w:pPr>
            <w:r>
              <w:rPr>
                <w:rFonts w:ascii="Arial" w:cs="Arial" w:eastAsia="Arial" w:hAnsi="Arial"/>
                <w:sz w:val="22"/>
                <w:szCs w:val="22"/>
                <w:color w:val="auto"/>
              </w:rPr>
              <w:t>Oren Frank</w:t>
            </w:r>
          </w:p>
        </w:tc>
        <w:tc>
          <w:tcPr>
            <w:tcW w:w="6840" w:type="dxa"/>
            <w:vAlign w:val="bottom"/>
          </w:tcPr>
          <w:p>
            <w:pPr>
              <w:spacing w:after="0"/>
              <w:rPr>
                <w:sz w:val="19"/>
                <w:szCs w:val="19"/>
                <w:color w:val="auto"/>
              </w:rPr>
            </w:pPr>
          </w:p>
        </w:tc>
      </w:tr>
      <w:tr>
        <w:trPr>
          <w:trHeight w:val="230"/>
        </w:trPr>
        <w:tc>
          <w:tcPr>
            <w:tcW w:w="4400" w:type="dxa"/>
            <w:vAlign w:val="bottom"/>
          </w:tcPr>
          <w:p>
            <w:pPr>
              <w:ind w:left="20"/>
              <w:spacing w:after="0" w:line="229" w:lineRule="exact"/>
              <w:rPr>
                <w:sz w:val="20"/>
                <w:szCs w:val="20"/>
                <w:color w:val="auto"/>
              </w:rPr>
            </w:pPr>
            <w:r>
              <w:rPr>
                <w:rFonts w:ascii="Arial" w:cs="Arial" w:eastAsia="Arial" w:hAnsi="Arial"/>
                <w:sz w:val="22"/>
                <w:szCs w:val="22"/>
                <w:color w:val="auto"/>
              </w:rPr>
              <w:t>CEO</w:t>
            </w:r>
          </w:p>
        </w:tc>
        <w:tc>
          <w:tcPr>
            <w:tcW w:w="6840" w:type="dxa"/>
            <w:vAlign w:val="bottom"/>
          </w:tcPr>
          <w:p>
            <w:pPr>
              <w:spacing w:after="0"/>
              <w:rPr>
                <w:sz w:val="19"/>
                <w:szCs w:val="19"/>
                <w:color w:val="auto"/>
              </w:rPr>
            </w:pPr>
          </w:p>
        </w:tc>
      </w:tr>
      <w:tr>
        <w:trPr>
          <w:trHeight w:val="274"/>
        </w:trPr>
        <w:tc>
          <w:tcPr>
            <w:tcW w:w="4400" w:type="dxa"/>
            <w:vAlign w:val="bottom"/>
          </w:tcPr>
          <w:p>
            <w:pPr>
              <w:ind w:left="20"/>
              <w:spacing w:after="0"/>
              <w:rPr>
                <w:sz w:val="20"/>
                <w:szCs w:val="20"/>
                <w:color w:val="auto"/>
              </w:rPr>
            </w:pPr>
            <w:r>
              <w:rPr>
                <w:rFonts w:ascii="Arial" w:cs="Arial" w:eastAsia="Arial" w:hAnsi="Arial"/>
                <w:sz w:val="22"/>
                <w:szCs w:val="22"/>
                <w:color w:val="auto"/>
              </w:rPr>
              <w:t>Date: 6/22/21</w:t>
            </w:r>
          </w:p>
        </w:tc>
        <w:tc>
          <w:tcPr>
            <w:tcW w:w="6840" w:type="dxa"/>
            <w:vAlign w:val="bottom"/>
          </w:tcPr>
          <w:p>
            <w:pPr>
              <w:ind w:left="2380"/>
              <w:spacing w:after="0"/>
              <w:rPr>
                <w:sz w:val="20"/>
                <w:szCs w:val="20"/>
                <w:color w:val="auto"/>
              </w:rPr>
            </w:pPr>
            <w:r>
              <w:rPr>
                <w:rFonts w:ascii="Arial" w:cs="Arial" w:eastAsia="Arial" w:hAnsi="Arial"/>
                <w:sz w:val="22"/>
                <w:szCs w:val="22"/>
                <w:color w:val="auto"/>
              </w:rPr>
              <w:t>Date: 6/22/21</w:t>
            </w:r>
          </w:p>
        </w:tc>
      </w:tr>
      <w:tr>
        <w:trPr>
          <w:trHeight w:val="308"/>
        </w:trPr>
        <w:tc>
          <w:tcPr>
            <w:tcW w:w="440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45" w:name="page146"/>
    <w:bookmarkEnd w:id="145"/>
    <w:p>
      <w:pPr>
        <w:jc w:val="center"/>
        <w:ind w:right="59"/>
        <w:spacing w:after="0"/>
        <w:rPr>
          <w:sz w:val="20"/>
          <w:szCs w:val="20"/>
          <w:color w:val="auto"/>
        </w:rPr>
      </w:pPr>
      <w:r>
        <w:rPr>
          <w:rFonts w:ascii="Arial" w:cs="Arial" w:eastAsia="Arial" w:hAnsi="Arial"/>
          <w:sz w:val="21"/>
          <w:szCs w:val="21"/>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74295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165735</wp:posOffset>
            </wp:positionV>
            <wp:extent cx="2503170" cy="7289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250317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340"/>
        <w:spacing w:after="0"/>
        <w:rPr>
          <w:sz w:val="20"/>
          <w:szCs w:val="20"/>
          <w:color w:val="auto"/>
        </w:rPr>
      </w:pPr>
      <w:r>
        <w:rPr>
          <w:rFonts w:ascii="Arial" w:cs="Arial" w:eastAsia="Arial" w:hAnsi="Arial"/>
          <w:sz w:val="22"/>
          <w:szCs w:val="22"/>
          <w:color w:val="auto"/>
        </w:rPr>
        <w:t>June 22, 2021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Dear Samara Braunstein,</w:t>
      </w:r>
    </w:p>
    <w:p>
      <w:pPr>
        <w:spacing w:after="0" w:line="223" w:lineRule="exact"/>
        <w:rPr>
          <w:sz w:val="20"/>
          <w:szCs w:val="20"/>
          <w:color w:val="auto"/>
        </w:rPr>
      </w:pPr>
    </w:p>
    <w:p>
      <w:pPr>
        <w:jc w:val="both"/>
        <w:ind w:right="120"/>
        <w:spacing w:after="0" w:line="289" w:lineRule="auto"/>
        <w:rPr>
          <w:sz w:val="20"/>
          <w:szCs w:val="20"/>
          <w:color w:val="auto"/>
        </w:rPr>
      </w:pPr>
      <w:r>
        <w:rPr>
          <w:rFonts w:ascii="Arial" w:cs="Arial" w:eastAsia="Arial" w:hAnsi="Arial"/>
          <w:sz w:val="19"/>
          <w:szCs w:val="19"/>
          <w:color w:val="auto"/>
        </w:rPr>
        <w:t>Talkspace, Inc. (d.b.a. Talkspace)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is very pleased to offer you the position of </w:t>
      </w:r>
      <w:r>
        <w:rPr>
          <w:rFonts w:ascii="Arial" w:cs="Arial" w:eastAsia="Arial" w:hAnsi="Arial"/>
          <w:sz w:val="19"/>
          <w:szCs w:val="19"/>
          <w:b w:val="1"/>
          <w:bCs w:val="1"/>
          <w:color w:val="auto"/>
        </w:rPr>
        <w:t>Chief Marketing Officer</w:t>
      </w:r>
      <w:r>
        <w:rPr>
          <w:rFonts w:ascii="Arial" w:cs="Arial" w:eastAsia="Arial" w:hAnsi="Arial"/>
          <w:sz w:val="19"/>
          <w:szCs w:val="19"/>
          <w:color w:val="auto"/>
        </w:rPr>
        <w:t xml:space="preserve"> reporting directly to the Company’s CEO with an anticipated start date of July 1, 2021. You shall devote your full working time, attention and best efforts to fulfill your duties and to further the business and interests of the Company. This agreement supersedes all prior offer letters, agreements, and any other documentation of employment.</w:t>
      </w:r>
    </w:p>
    <w:p>
      <w:pPr>
        <w:spacing w:after="0" w:line="155" w:lineRule="exact"/>
        <w:rPr>
          <w:sz w:val="20"/>
          <w:szCs w:val="20"/>
          <w:color w:val="auto"/>
        </w:rPr>
      </w:pPr>
    </w:p>
    <w:p>
      <w:pPr>
        <w:jc w:val="both"/>
        <w:ind w:left="740" w:right="120" w:hanging="374"/>
        <w:spacing w:after="0" w:line="287" w:lineRule="auto"/>
        <w:tabs>
          <w:tab w:leader="none" w:pos="74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You will receive an annual salary of $330,000, subject to tax and other withholdings as required by law, which will be paid semi-monthly in accordance with the Company's normal payroll procedures (your “</w:t>
      </w:r>
      <w:r>
        <w:rPr>
          <w:rFonts w:ascii="Arial" w:cs="Arial" w:eastAsia="Arial" w:hAnsi="Arial"/>
          <w:sz w:val="19"/>
          <w:szCs w:val="19"/>
          <w:b w:val="1"/>
          <w:bCs w:val="1"/>
          <w:color w:val="auto"/>
        </w:rPr>
        <w:t>Base</w:t>
      </w:r>
      <w:r>
        <w:rPr>
          <w:rFonts w:ascii="Arial" w:cs="Arial" w:eastAsia="Arial" w:hAnsi="Arial"/>
          <w:sz w:val="19"/>
          <w:szCs w:val="19"/>
          <w:color w:val="auto"/>
        </w:rPr>
        <w:t xml:space="preserve"> </w:t>
      </w:r>
      <w:r>
        <w:rPr>
          <w:rFonts w:ascii="Arial" w:cs="Arial" w:eastAsia="Arial" w:hAnsi="Arial"/>
          <w:sz w:val="19"/>
          <w:szCs w:val="19"/>
          <w:b w:val="1"/>
          <w:bCs w:val="1"/>
          <w:color w:val="auto"/>
        </w:rPr>
        <w:t>Salary</w:t>
      </w:r>
      <w:r>
        <w:rPr>
          <w:rFonts w:ascii="Arial" w:cs="Arial" w:eastAsia="Arial" w:hAnsi="Arial"/>
          <w:sz w:val="19"/>
          <w:szCs w:val="19"/>
          <w:color w:val="auto"/>
        </w:rPr>
        <w:t>”). Your Base Salary may be adjusted from time to time in accordance with normal business practice and at the</w:t>
      </w:r>
      <w:r>
        <w:rPr>
          <w:rFonts w:ascii="Arial" w:cs="Arial" w:eastAsia="Arial" w:hAnsi="Arial"/>
          <w:sz w:val="19"/>
          <w:szCs w:val="19"/>
          <w:b w:val="1"/>
          <w:bCs w:val="1"/>
          <w:color w:val="auto"/>
        </w:rPr>
        <w:t xml:space="preserve"> </w:t>
      </w:r>
      <w:r>
        <w:rPr>
          <w:rFonts w:ascii="Arial" w:cs="Arial" w:eastAsia="Arial" w:hAnsi="Arial"/>
          <w:sz w:val="19"/>
          <w:szCs w:val="19"/>
          <w:color w:val="auto"/>
        </w:rPr>
        <w:t>sole discretion of the Company. You shall be an “exempt” employee not working hourly or eligible for overtime.</w:t>
      </w:r>
    </w:p>
    <w:p>
      <w:pPr>
        <w:spacing w:after="0" w:line="177" w:lineRule="exact"/>
        <w:rPr>
          <w:sz w:val="20"/>
          <w:szCs w:val="20"/>
          <w:color w:val="auto"/>
        </w:rPr>
      </w:pPr>
    </w:p>
    <w:p>
      <w:pPr>
        <w:jc w:val="both"/>
        <w:ind w:right="120"/>
        <w:spacing w:after="0" w:line="283" w:lineRule="auto"/>
        <w:rPr>
          <w:sz w:val="20"/>
          <w:szCs w:val="20"/>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You will be eligible for an annual bonus under the Company’s annual incentive program (your “</w:t>
      </w:r>
      <w:r>
        <w:rPr>
          <w:rFonts w:ascii="Arial" w:cs="Arial" w:eastAsia="Arial" w:hAnsi="Arial"/>
          <w:sz w:val="19"/>
          <w:szCs w:val="19"/>
          <w:b w:val="1"/>
          <w:bCs w:val="1"/>
          <w:color w:val="auto"/>
        </w:rPr>
        <w:t>Annual Bonus</w:t>
      </w:r>
      <w:r>
        <w:rPr>
          <w:rFonts w:ascii="Arial" w:cs="Arial" w:eastAsia="Arial" w:hAnsi="Arial"/>
          <w:sz w:val="19"/>
          <w:szCs w:val="19"/>
          <w:color w:val="auto"/>
        </w:rPr>
        <w:t>”). Your target Annual Bonus will be equal to 50% of your Base Salary, evenly divided between Individual and Company goals. You have the potential to achieve up to 100% of your Base Salary based on achieving max goals as defined by the Talkspace Strategic Scorecard. Your Annual Bonus will be awarded based on the achievement of both individual and Company goals as communicated to you by the Company on an annual basis, and subject to the terms and conditions of the applicable program.</w:t>
      </w:r>
    </w:p>
    <w:p>
      <w:pPr>
        <w:spacing w:after="0" w:line="122" w:lineRule="exact"/>
        <w:rPr>
          <w:sz w:val="20"/>
          <w:szCs w:val="20"/>
          <w:color w:val="auto"/>
        </w:rPr>
      </w:pPr>
    </w:p>
    <w:p>
      <w:pPr>
        <w:ind w:left="740" w:hanging="374"/>
        <w:spacing w:after="0"/>
        <w:tabs>
          <w:tab w:leader="none" w:pos="74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Equity Award</w:t>
      </w:r>
      <w:r>
        <w:rPr>
          <w:rFonts w:ascii="Arial" w:cs="Arial" w:eastAsia="Arial" w:hAnsi="Arial"/>
          <w:sz w:val="22"/>
          <w:szCs w:val="22"/>
          <w:color w:val="auto"/>
        </w:rPr>
        <w:t>.</w:t>
      </w:r>
    </w:p>
    <w:p>
      <w:pPr>
        <w:spacing w:after="0" w:line="240" w:lineRule="exact"/>
        <w:rPr>
          <w:rFonts w:ascii="Arial" w:cs="Arial" w:eastAsia="Arial" w:hAnsi="Arial"/>
          <w:sz w:val="22"/>
          <w:szCs w:val="22"/>
          <w:color w:val="auto"/>
        </w:rPr>
      </w:pPr>
    </w:p>
    <w:p>
      <w:pPr>
        <w:jc w:val="both"/>
        <w:ind w:left="1480" w:right="120" w:hanging="365"/>
        <w:spacing w:after="0" w:line="247" w:lineRule="auto"/>
        <w:tabs>
          <w:tab w:leader="none" w:pos="1480" w:val="left"/>
        </w:tabs>
        <w:numPr>
          <w:ilvl w:val="1"/>
          <w:numId w:val="88"/>
        </w:numPr>
        <w:rPr>
          <w:rFonts w:ascii="Arial" w:cs="Arial" w:eastAsia="Arial" w:hAnsi="Arial"/>
          <w:sz w:val="21"/>
          <w:szCs w:val="21"/>
          <w:color w:val="auto"/>
        </w:rPr>
      </w:pPr>
      <w:r>
        <w:rPr>
          <w:rFonts w:ascii="Arial" w:cs="Arial" w:eastAsia="Arial" w:hAnsi="Arial"/>
          <w:sz w:val="21"/>
          <w:szCs w:val="21"/>
          <w:color w:val="auto"/>
        </w:rPr>
        <w:t>Subject to approval of the Board of Directors of the Company (or a subcommittee thereof) (the “</w:t>
      </w:r>
      <w:r>
        <w:rPr>
          <w:rFonts w:ascii="Arial" w:cs="Arial" w:eastAsia="Arial" w:hAnsi="Arial"/>
          <w:sz w:val="21"/>
          <w:szCs w:val="21"/>
          <w:b w:val="1"/>
          <w:bCs w:val="1"/>
          <w:color w:val="auto"/>
        </w:rPr>
        <w:t>Board</w:t>
      </w:r>
      <w:r>
        <w:rPr>
          <w:rFonts w:ascii="Arial" w:cs="Arial" w:eastAsia="Arial" w:hAnsi="Arial"/>
          <w:sz w:val="21"/>
          <w:szCs w:val="21"/>
          <w:color w:val="auto"/>
        </w:rPr>
        <w:t>”), the Company shall grant to you equity-based compensation awards under the Talkspace, Inc. 2021 Incentive Award Plan (the “</w:t>
      </w:r>
      <w:r>
        <w:rPr>
          <w:rFonts w:ascii="Arial" w:cs="Arial" w:eastAsia="Arial" w:hAnsi="Arial"/>
          <w:sz w:val="21"/>
          <w:szCs w:val="21"/>
          <w:b w:val="1"/>
          <w:bCs w:val="1"/>
          <w:color w:val="auto"/>
        </w:rPr>
        <w:t>Plan</w:t>
      </w:r>
      <w:r>
        <w:rPr>
          <w:rFonts w:ascii="Arial" w:cs="Arial" w:eastAsia="Arial" w:hAnsi="Arial"/>
          <w:sz w:val="21"/>
          <w:szCs w:val="21"/>
          <w:color w:val="auto"/>
        </w:rPr>
        <w:t>”) with an aggregate share number equal to 618,750 shares. Of such amount, 20% or 123,750 units will be granted in the form of a restricted stock unit award (the “</w:t>
      </w:r>
      <w:r>
        <w:rPr>
          <w:rFonts w:ascii="Arial" w:cs="Arial" w:eastAsia="Arial" w:hAnsi="Arial"/>
          <w:sz w:val="21"/>
          <w:szCs w:val="21"/>
          <w:b w:val="1"/>
          <w:bCs w:val="1"/>
          <w:color w:val="auto"/>
        </w:rPr>
        <w:t>RSU Award</w:t>
      </w:r>
      <w:r>
        <w:rPr>
          <w:rFonts w:ascii="Arial" w:cs="Arial" w:eastAsia="Arial" w:hAnsi="Arial"/>
          <w:sz w:val="21"/>
          <w:szCs w:val="21"/>
          <w:color w:val="auto"/>
        </w:rPr>
        <w:t>”) and the remaining 80% (495,000) shall be granted in the form of an option to purchase Company common stock (the “</w:t>
      </w:r>
      <w:r>
        <w:rPr>
          <w:rFonts w:ascii="Arial" w:cs="Arial" w:eastAsia="Arial" w:hAnsi="Arial"/>
          <w:sz w:val="21"/>
          <w:szCs w:val="21"/>
          <w:b w:val="1"/>
          <w:bCs w:val="1"/>
          <w:color w:val="auto"/>
        </w:rPr>
        <w:t>Stock Option</w:t>
      </w:r>
      <w:r>
        <w:rPr>
          <w:rFonts w:ascii="Arial" w:cs="Arial" w:eastAsia="Arial" w:hAnsi="Arial"/>
          <w:sz w:val="21"/>
          <w:szCs w:val="21"/>
          <w:color w:val="auto"/>
        </w:rPr>
        <w:t>” and, together with the RSU Award, the “</w:t>
      </w:r>
      <w:r>
        <w:rPr>
          <w:rFonts w:ascii="Arial" w:cs="Arial" w:eastAsia="Arial" w:hAnsi="Arial"/>
          <w:sz w:val="21"/>
          <w:szCs w:val="21"/>
          <w:b w:val="1"/>
          <w:bCs w:val="1"/>
          <w:color w:val="auto"/>
        </w:rPr>
        <w:t>Award</w:t>
      </w:r>
      <w:r>
        <w:rPr>
          <w:rFonts w:ascii="Arial" w:cs="Arial" w:eastAsia="Arial" w:hAnsi="Arial"/>
          <w:sz w:val="21"/>
          <w:szCs w:val="21"/>
          <w:color w:val="auto"/>
        </w:rPr>
        <w:t>”), in each case, subject to your continued employment through the applicable vesting date.</w:t>
      </w:r>
    </w:p>
    <w:p>
      <w:pPr>
        <w:spacing w:after="0" w:line="223" w:lineRule="exact"/>
        <w:rPr>
          <w:rFonts w:ascii="Arial" w:cs="Arial" w:eastAsia="Arial" w:hAnsi="Arial"/>
          <w:sz w:val="21"/>
          <w:szCs w:val="21"/>
          <w:color w:val="auto"/>
        </w:rPr>
      </w:pPr>
    </w:p>
    <w:p>
      <w:pPr>
        <w:jc w:val="both"/>
        <w:ind w:left="1480" w:right="120" w:hanging="365"/>
        <w:spacing w:after="0"/>
        <w:tabs>
          <w:tab w:leader="none" w:pos="1480"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number of shares of Company common stock subject to the RSU Award will be determined by dividing the applicable RSU Award grant value by the Fair Market Value (as defined in the Plan) of the Company’s common stock on the applicable grant date.</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14" w:right="339" w:bottom="1440" w:gutter="0" w:footer="0" w:header="0"/>
        </w:sectPr>
      </w:pPr>
    </w:p>
    <w:bookmarkStart w:id="147" w:name="page148"/>
    <w:bookmarkEnd w:id="147"/>
    <w:p>
      <w:pPr>
        <w:jc w:val="both"/>
        <w:ind w:left="1120" w:hanging="365"/>
        <w:spacing w:after="0" w:line="248" w:lineRule="auto"/>
        <w:tabs>
          <w:tab w:leader="none" w:pos="1120"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 Stock Option shall be a non-qualified stock option, shall have an exercise price per share equal to the Fair Market Value of the Company’s common stock on the applicable grant date, and shall have a maximum term of ten years from the applicable grant date. The number of shares of Company common stock subject to the Stock Option will be determined by dividing the applicable Stock Option grant value by the per share Black-Scholes valuation as of the applicable grant date, utilizing the same assumptions that the Company uses in the preparation of its financial statements.</w:t>
      </w:r>
    </w:p>
    <w:p>
      <w:pPr>
        <w:spacing w:after="0" w:line="217" w:lineRule="exact"/>
        <w:rPr>
          <w:rFonts w:ascii="Arial" w:cs="Arial" w:eastAsia="Arial" w:hAnsi="Arial"/>
          <w:sz w:val="21"/>
          <w:szCs w:val="21"/>
          <w:color w:val="auto"/>
        </w:rPr>
      </w:pPr>
    </w:p>
    <w:p>
      <w:pPr>
        <w:jc w:val="both"/>
        <w:ind w:left="1120" w:hanging="365"/>
        <w:spacing w:after="0" w:line="277" w:lineRule="auto"/>
        <w:tabs>
          <w:tab w:leader="none" w:pos="1120" w:val="left"/>
        </w:tabs>
        <w:numPr>
          <w:ilvl w:val="1"/>
          <w:numId w:val="89"/>
        </w:numPr>
        <w:rPr>
          <w:rFonts w:ascii="Arial" w:cs="Arial" w:eastAsia="Arial" w:hAnsi="Arial"/>
          <w:sz w:val="19"/>
          <w:szCs w:val="19"/>
          <w:color w:val="auto"/>
        </w:rPr>
      </w:pPr>
      <w:r>
        <w:rPr>
          <w:rFonts w:ascii="Arial" w:cs="Arial" w:eastAsia="Arial" w:hAnsi="Arial"/>
          <w:sz w:val="19"/>
          <w:szCs w:val="19"/>
          <w:color w:val="auto"/>
        </w:rPr>
        <w:t>Subject to your continued service with the Company through the applicable vesting date, each Award shall vest (and become exercisable, as applicable) (x) with respect to 100% of the equity underlying such Award, in substantially equal installments on each of the 16 quarterly anniversaries thereafter. The terms and conditions of each Award shall be set forth in one or more separate award agreement(s) in a form(s) prescribed by the Company, to be entered into by the Company and you (the “</w:t>
      </w:r>
      <w:r>
        <w:rPr>
          <w:rFonts w:ascii="Arial" w:cs="Arial" w:eastAsia="Arial" w:hAnsi="Arial"/>
          <w:sz w:val="19"/>
          <w:szCs w:val="19"/>
          <w:b w:val="1"/>
          <w:bCs w:val="1"/>
          <w:color w:val="auto"/>
        </w:rPr>
        <w:t>Award Agreements</w:t>
      </w:r>
      <w:r>
        <w:rPr>
          <w:rFonts w:ascii="Arial" w:cs="Arial" w:eastAsia="Arial" w:hAnsi="Arial"/>
          <w:sz w:val="19"/>
          <w:szCs w:val="19"/>
          <w:color w:val="auto"/>
        </w:rPr>
        <w:t>”). Except as otherwise specifically provided in this Agreement, each Award shall be governed in all respects by the terms of and conditions of the Plan and the applicable Award Agreement.</w:t>
      </w:r>
    </w:p>
    <w:p>
      <w:pPr>
        <w:spacing w:after="0" w:line="178" w:lineRule="exact"/>
        <w:rPr>
          <w:rFonts w:ascii="Arial" w:cs="Arial" w:eastAsia="Arial" w:hAnsi="Arial"/>
          <w:sz w:val="19"/>
          <w:szCs w:val="19"/>
          <w:color w:val="auto"/>
        </w:rPr>
      </w:pPr>
    </w:p>
    <w:p>
      <w:pPr>
        <w:ind w:left="1120" w:right="20" w:hanging="365"/>
        <w:spacing w:after="0" w:line="250" w:lineRule="auto"/>
        <w:tabs>
          <w:tab w:leader="none" w:pos="11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Beginning in calendar year 2022, you will be eligible to receive an annual equity-based award as determined by the Board from time to time.</w:t>
      </w:r>
    </w:p>
    <w:p>
      <w:pPr>
        <w:spacing w:after="0" w:line="215" w:lineRule="exact"/>
        <w:rPr>
          <w:rFonts w:ascii="Arial" w:cs="Arial" w:eastAsia="Arial" w:hAnsi="Arial"/>
          <w:sz w:val="22"/>
          <w:szCs w:val="22"/>
          <w:color w:val="auto"/>
        </w:rPr>
      </w:pPr>
    </w:p>
    <w:p>
      <w:pPr>
        <w:jc w:val="both"/>
        <w:ind w:left="380" w:hanging="374"/>
        <w:spacing w:after="0"/>
        <w:tabs>
          <w:tab w:leader="none" w:pos="38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During your employment, you will be entitled to the benefits generally made available to regular, full-time salaried employees of the Company as summarized in the attached Benefits Overview. The Company reserves the right to adjust its benefits program from time to time as the Company sees fit.</w:t>
      </w:r>
    </w:p>
    <w:p>
      <w:pPr>
        <w:spacing w:after="0" w:line="226" w:lineRule="exact"/>
        <w:rPr>
          <w:rFonts w:ascii="Arial" w:cs="Arial" w:eastAsia="Arial" w:hAnsi="Arial"/>
          <w:sz w:val="22"/>
          <w:szCs w:val="22"/>
          <w:color w:val="auto"/>
        </w:rPr>
      </w:pPr>
    </w:p>
    <w:p>
      <w:pPr>
        <w:jc w:val="both"/>
        <w:ind w:left="380" w:hanging="374"/>
        <w:spacing w:after="0" w:line="246" w:lineRule="auto"/>
        <w:tabs>
          <w:tab w:leader="none" w:pos="380"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Conditions to Employment</w:t>
      </w:r>
      <w:r>
        <w:rPr>
          <w:rFonts w:ascii="Arial" w:cs="Arial" w:eastAsia="Arial" w:hAnsi="Arial"/>
          <w:sz w:val="21"/>
          <w:szCs w:val="21"/>
          <w:color w:val="auto"/>
        </w:rPr>
        <w:t xml:space="preserve">. As a condition of your employment, you are required to review and sign the Invention, Non-Disclosure, Non-Competition and Non-Solicitation Agreement attached hereto as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b w:val="1"/>
          <w:bCs w:val="1"/>
          <w:color w:val="auto"/>
        </w:rPr>
        <w:t>Restrictive</w:t>
      </w:r>
      <w:r>
        <w:rPr>
          <w:rFonts w:ascii="Arial" w:cs="Arial" w:eastAsia="Arial" w:hAnsi="Arial"/>
          <w:sz w:val="21"/>
          <w:szCs w:val="21"/>
          <w:color w:val="auto"/>
        </w:rPr>
        <w:t xml:space="preserve"> </w:t>
      </w:r>
      <w:r>
        <w:rPr>
          <w:rFonts w:ascii="Arial" w:cs="Arial" w:eastAsia="Arial" w:hAnsi="Arial"/>
          <w:sz w:val="21"/>
          <w:szCs w:val="21"/>
          <w:b w:val="1"/>
          <w:bCs w:val="1"/>
          <w:color w:val="auto"/>
        </w:rPr>
        <w:t>Covenant Agreement</w:t>
      </w:r>
      <w:r>
        <w:rPr>
          <w:rFonts w:ascii="Arial" w:cs="Arial" w:eastAsia="Arial" w:hAnsi="Arial"/>
          <w:sz w:val="21"/>
          <w:szCs w:val="21"/>
          <w:color w:val="auto"/>
        </w:rPr>
        <w:t>”) and the Company’s Employee Handbook.</w:t>
      </w:r>
      <w:r>
        <w:rPr>
          <w:rFonts w:ascii="Arial" w:cs="Arial" w:eastAsia="Arial" w:hAnsi="Arial"/>
          <w:sz w:val="21"/>
          <w:szCs w:val="21"/>
          <w:b w:val="1"/>
          <w:bCs w:val="1"/>
          <w:color w:val="auto"/>
        </w:rPr>
        <w:t xml:space="preserve"> </w:t>
      </w:r>
      <w:r>
        <w:rPr>
          <w:rFonts w:ascii="Arial" w:cs="Arial" w:eastAsia="Arial" w:hAnsi="Arial"/>
          <w:sz w:val="21"/>
          <w:szCs w:val="21"/>
          <w:color w:val="212121"/>
        </w:rPr>
        <w:t>This employment offer is further contingent upon</w:t>
      </w:r>
      <w:r>
        <w:rPr>
          <w:rFonts w:ascii="Arial" w:cs="Arial" w:eastAsia="Arial" w:hAnsi="Arial"/>
          <w:sz w:val="21"/>
          <w:szCs w:val="21"/>
          <w:b w:val="1"/>
          <w:bCs w:val="1"/>
          <w:color w:val="auto"/>
        </w:rPr>
        <w:t xml:space="preserve"> </w:t>
      </w:r>
      <w:r>
        <w:rPr>
          <w:rFonts w:ascii="Arial" w:cs="Arial" w:eastAsia="Arial" w:hAnsi="Arial"/>
          <w:sz w:val="21"/>
          <w:szCs w:val="21"/>
          <w:color w:val="212121"/>
        </w:rPr>
        <w:t xml:space="preserve">your successful completion of a background check. A thorough background check is also a contractual requirement by many of our customers as a condition of doing business. </w:t>
      </w:r>
      <w:r>
        <w:rPr>
          <w:rFonts w:ascii="Arial" w:cs="Arial" w:eastAsia="Arial" w:hAnsi="Arial"/>
          <w:sz w:val="21"/>
          <w:szCs w:val="21"/>
          <w:color w:val="000000"/>
        </w:rPr>
        <w:t>You will also be required to complete applicable</w:t>
      </w:r>
      <w:r>
        <w:rPr>
          <w:rFonts w:ascii="Arial" w:cs="Arial" w:eastAsia="Arial" w:hAnsi="Arial"/>
          <w:sz w:val="21"/>
          <w:szCs w:val="21"/>
          <w:color w:val="212121"/>
        </w:rPr>
        <w:t xml:space="preserve"> </w:t>
      </w:r>
      <w:r>
        <w:rPr>
          <w:rFonts w:ascii="Arial" w:cs="Arial" w:eastAsia="Arial" w:hAnsi="Arial"/>
          <w:sz w:val="21"/>
          <w:szCs w:val="21"/>
          <w:color w:val="000000"/>
        </w:rPr>
        <w:t>immigration, payroll and tax forms, and to provide documentation of your eligibility to work in the United States, as required by the Immigration Reform and Control Act of 1986.</w:t>
      </w:r>
    </w:p>
    <w:p>
      <w:pPr>
        <w:spacing w:after="0" w:line="211" w:lineRule="exact"/>
        <w:rPr>
          <w:rFonts w:ascii="Arial" w:cs="Arial" w:eastAsia="Arial" w:hAnsi="Arial"/>
          <w:sz w:val="21"/>
          <w:szCs w:val="21"/>
          <w:color w:val="auto"/>
        </w:rPr>
      </w:pPr>
    </w:p>
    <w:p>
      <w:pPr>
        <w:jc w:val="both"/>
        <w:ind w:left="380" w:right="20" w:hanging="374"/>
        <w:spacing w:after="0" w:line="238" w:lineRule="auto"/>
        <w:tabs>
          <w:tab w:leader="none" w:pos="38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Your employment with the Company is for no specified period and constitutes "at-will" employment in that it can be terminated with or without cause, and with or without notice, at any time, at the option of either the Company or yourself, except as otherwise provided by law. All issues related to separation and severance are covered separately in the Talkspace Executive Severance Plan.</w:t>
      </w:r>
    </w:p>
    <w:p>
      <w:pPr>
        <w:spacing w:after="0" w:line="211" w:lineRule="exact"/>
        <w:rPr>
          <w:rFonts w:ascii="Arial" w:cs="Arial" w:eastAsia="Arial" w:hAnsi="Arial"/>
          <w:sz w:val="22"/>
          <w:szCs w:val="22"/>
          <w:color w:val="auto"/>
        </w:rPr>
      </w:pPr>
    </w:p>
    <w:p>
      <w:pPr>
        <w:ind w:left="380" w:right="20" w:hanging="374"/>
        <w:spacing w:after="0" w:line="328" w:lineRule="auto"/>
        <w:tabs>
          <w:tab w:leader="none" w:pos="38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letter, along with the Restrictive Covenant Agreement, sets forth the terms of your employment with the Company and supersede any prior representations or agreements whether written or oral.</w:t>
      </w:r>
    </w:p>
    <w:p>
      <w:pPr>
        <w:spacing w:after="0" w:line="18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62865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00" w:top="374" w:right="459" w:bottom="1440" w:gutter="0" w:footer="0" w:header="0"/>
        </w:sectPr>
      </w:pPr>
    </w:p>
    <w:bookmarkStart w:id="148" w:name="page149"/>
    <w:bookmarkEnd w:id="148"/>
    <w:p>
      <w:pPr>
        <w:ind w:left="740" w:hanging="374"/>
        <w:spacing w:after="0"/>
        <w:tabs>
          <w:tab w:leader="none" w:pos="74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480" w:hanging="365"/>
        <w:spacing w:after="0" w:line="235" w:lineRule="auto"/>
        <w:tabs>
          <w:tab w:leader="none" w:pos="1480"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validity, interpretation, enforceability, and performance of this letter shall be governed by and construed in accordance with the laws of the State of New York, without giving effect to conflict of laws provisions thereof. Each party hereto hereby consents to the personal and exclusive jurisdiction and venue of the courts of the State of New York and expressly waives any claim of improper venue and any claim that such courts are an inconvenient forum. By your acceptance of this offer letter, you agree to submit to the jurisdiction of such courts.</w:t>
      </w:r>
    </w:p>
    <w:p>
      <w:pPr>
        <w:spacing w:after="0" w:line="214" w:lineRule="exact"/>
        <w:rPr>
          <w:rFonts w:ascii="Arial" w:cs="Arial" w:eastAsia="Arial" w:hAnsi="Arial"/>
          <w:sz w:val="22"/>
          <w:szCs w:val="22"/>
          <w:color w:val="auto"/>
        </w:rPr>
      </w:pPr>
    </w:p>
    <w:p>
      <w:pPr>
        <w:jc w:val="both"/>
        <w:ind w:left="1480" w:hanging="365"/>
        <w:spacing w:after="0"/>
        <w:tabs>
          <w:tab w:leader="none" w:pos="1480" w:val="left"/>
        </w:tabs>
        <w:numPr>
          <w:ilvl w:val="1"/>
          <w:numId w:val="91"/>
        </w:numPr>
        <w:rPr>
          <w:rFonts w:ascii="Arial" w:cs="Arial" w:eastAsia="Arial" w:hAnsi="Arial"/>
          <w:sz w:val="22"/>
          <w:szCs w:val="22"/>
          <w:color w:val="auto"/>
        </w:rPr>
      </w:pPr>
      <w:r>
        <w:rPr>
          <w:rFonts w:ascii="Arial" w:cs="Arial" w:eastAsia="Arial" w:hAnsi="Arial"/>
          <w:sz w:val="22"/>
          <w:szCs w:val="22"/>
          <w:color w:val="auto"/>
        </w:rPr>
        <w:t>You represent that 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227"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If you agree with and accept the terms of this offer of employment, please sign below and return this letter to me. This offer shall expire in three business days; however, if you need additional time to consider, please contact us at peopleops@talkspace.com. We look forward to having you join Talkspace.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03" w:lineRule="exact"/>
        <w:rPr>
          <w:sz w:val="20"/>
          <w:szCs w:val="20"/>
          <w:color w:val="auto"/>
        </w:rPr>
      </w:pPr>
    </w:p>
    <w:p>
      <w:pPr>
        <w:ind w:left="140"/>
        <w:spacing w:after="0"/>
        <w:rPr>
          <w:sz w:val="20"/>
          <w:szCs w:val="20"/>
          <w:color w:val="auto"/>
        </w:rPr>
      </w:pPr>
      <w:r>
        <w:rPr>
          <w:rFonts w:ascii="Arial" w:cs="Arial" w:eastAsia="Arial" w:hAnsi="Arial"/>
          <w:sz w:val="22"/>
          <w:szCs w:val="22"/>
          <w:color w:val="auto"/>
        </w:rPr>
        <w:t>/s/ Oren Frank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Oren Frank CEO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Talkspace, Inc.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 BY: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 Samara Braunstein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Samara Braunstein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Date: 6/22/21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-17780</wp:posOffset>
            </wp:positionV>
            <wp:extent cx="2743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766" w:right="459" w:bottom="1440" w:gutter="0" w:footer="0" w:header="0"/>
        </w:sectPr>
      </w:pPr>
    </w:p>
    <w:bookmarkStart w:id="149" w:name="page150"/>
    <w:bookmarkEnd w:id="149"/>
    <w:p>
      <w:pPr>
        <w:jc w:val="center"/>
        <w:ind w:right="11"/>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u w:val="single" w:color="auto"/>
          <w:color w:val="auto"/>
        </w:rPr>
        <w:t>Invention, Non-Disclosure, Non-Competition and Non-Solicitation Agreement</w:t>
      </w:r>
    </w:p>
    <w:p>
      <w:pPr>
        <w:spacing w:after="0" w:line="239" w:lineRule="exact"/>
        <w:rPr>
          <w:sz w:val="20"/>
          <w:szCs w:val="20"/>
          <w:color w:val="auto"/>
        </w:rPr>
      </w:pPr>
    </w:p>
    <w:p>
      <w:pPr>
        <w:jc w:val="both"/>
        <w:ind w:left="9" w:right="20"/>
        <w:spacing w:after="0" w:line="252" w:lineRule="auto"/>
        <w:rPr>
          <w:sz w:val="20"/>
          <w:szCs w:val="20"/>
          <w:color w:val="auto"/>
        </w:rPr>
      </w:pPr>
      <w:r>
        <w:rPr>
          <w:rFonts w:ascii="Arial" w:cs="Arial" w:eastAsia="Arial" w:hAnsi="Arial"/>
          <w:sz w:val="21"/>
          <w:szCs w:val="21"/>
          <w:color w:val="auto"/>
        </w:rPr>
        <w:t>This Invention, Non-Disclosure, Non-Competition and Non-Solicitation Agreement (hereinafter referred to as the “</w:t>
      </w:r>
      <w:r>
        <w:rPr>
          <w:rFonts w:ascii="Arial" w:cs="Arial" w:eastAsia="Arial" w:hAnsi="Arial"/>
          <w:sz w:val="21"/>
          <w:szCs w:val="21"/>
          <w:b w:val="1"/>
          <w:bCs w:val="1"/>
          <w:color w:val="auto"/>
        </w:rPr>
        <w:t>Agreement</w:t>
      </w:r>
      <w:r>
        <w:rPr>
          <w:rFonts w:ascii="Arial" w:cs="Arial" w:eastAsia="Arial" w:hAnsi="Arial"/>
          <w:sz w:val="21"/>
          <w:szCs w:val="21"/>
          <w:color w:val="auto"/>
        </w:rPr>
        <w:t>”) is dated as of June 22, 2021 (hereinafter referred to as the “</w:t>
      </w:r>
      <w:r>
        <w:rPr>
          <w:rFonts w:ascii="Arial" w:cs="Arial" w:eastAsia="Arial" w:hAnsi="Arial"/>
          <w:sz w:val="21"/>
          <w:szCs w:val="21"/>
          <w:b w:val="1"/>
          <w:bCs w:val="1"/>
          <w:color w:val="auto"/>
        </w:rPr>
        <w:t>Effective Date</w:t>
      </w:r>
      <w:r>
        <w:rPr>
          <w:rFonts w:ascii="Arial" w:cs="Arial" w:eastAsia="Arial" w:hAnsi="Arial"/>
          <w:sz w:val="21"/>
          <w:szCs w:val="21"/>
          <w:color w:val="auto"/>
        </w:rPr>
        <w:t>”) and is between: Talkspace, Inc. (d.b.a. Talkspace) (hereinafter the “</w:t>
      </w:r>
      <w:r>
        <w:rPr>
          <w:rFonts w:ascii="Arial" w:cs="Arial" w:eastAsia="Arial" w:hAnsi="Arial"/>
          <w:sz w:val="21"/>
          <w:szCs w:val="21"/>
          <w:b w:val="1"/>
          <w:bCs w:val="1"/>
          <w:color w:val="auto"/>
        </w:rPr>
        <w:t>Company</w:t>
      </w:r>
      <w:r>
        <w:rPr>
          <w:rFonts w:ascii="Arial" w:cs="Arial" w:eastAsia="Arial" w:hAnsi="Arial"/>
          <w:sz w:val="21"/>
          <w:szCs w:val="21"/>
          <w:color w:val="auto"/>
        </w:rPr>
        <w:t>”), having a place of business at 2578 Broadway #607, New York, NY 10025, and Samara Braunstein (hereinafter referred to in the first person as "</w:t>
      </w:r>
      <w:r>
        <w:rPr>
          <w:rFonts w:ascii="Arial" w:cs="Arial" w:eastAsia="Arial" w:hAnsi="Arial"/>
          <w:sz w:val="21"/>
          <w:szCs w:val="21"/>
          <w:b w:val="1"/>
          <w:bCs w:val="1"/>
          <w:color w:val="auto"/>
        </w:rPr>
        <w:t>I</w:t>
      </w:r>
      <w:r>
        <w:rPr>
          <w:rFonts w:ascii="Arial" w:cs="Arial" w:eastAsia="Arial" w:hAnsi="Arial"/>
          <w:sz w:val="21"/>
          <w:szCs w:val="21"/>
          <w:color w:val="auto"/>
        </w:rPr>
        <w:t>," "</w:t>
      </w:r>
      <w:r>
        <w:rPr>
          <w:rFonts w:ascii="Arial" w:cs="Arial" w:eastAsia="Arial" w:hAnsi="Arial"/>
          <w:sz w:val="21"/>
          <w:szCs w:val="21"/>
          <w:b w:val="1"/>
          <w:bCs w:val="1"/>
          <w:color w:val="auto"/>
        </w:rPr>
        <w:t>me</w:t>
      </w:r>
      <w:r>
        <w:rPr>
          <w:rFonts w:ascii="Arial" w:cs="Arial" w:eastAsia="Arial" w:hAnsi="Arial"/>
          <w:sz w:val="21"/>
          <w:szCs w:val="21"/>
          <w:color w:val="auto"/>
        </w:rPr>
        <w:t>" or "</w:t>
      </w:r>
      <w:r>
        <w:rPr>
          <w:rFonts w:ascii="Arial" w:cs="Arial" w:eastAsia="Arial" w:hAnsi="Arial"/>
          <w:sz w:val="21"/>
          <w:szCs w:val="21"/>
          <w:b w:val="1"/>
          <w:bCs w:val="1"/>
          <w:color w:val="auto"/>
        </w:rPr>
        <w:t>my</w:t>
      </w:r>
      <w:r>
        <w:rPr>
          <w:rFonts w:ascii="Arial" w:cs="Arial" w:eastAsia="Arial" w:hAnsi="Arial"/>
          <w:sz w:val="21"/>
          <w:szCs w:val="21"/>
          <w:color w:val="auto"/>
        </w:rPr>
        <w:t>").</w:t>
      </w:r>
    </w:p>
    <w:p>
      <w:pPr>
        <w:spacing w:after="0" w:line="201" w:lineRule="exact"/>
        <w:rPr>
          <w:sz w:val="20"/>
          <w:szCs w:val="20"/>
          <w:color w:val="auto"/>
        </w:rPr>
      </w:pPr>
    </w:p>
    <w:p>
      <w:pPr>
        <w:jc w:val="both"/>
        <w:ind w:left="9" w:right="20"/>
        <w:spacing w:after="0" w:line="250" w:lineRule="auto"/>
        <w:rPr>
          <w:sz w:val="20"/>
          <w:szCs w:val="20"/>
          <w:color w:val="auto"/>
        </w:rPr>
      </w:pPr>
      <w:r>
        <w:rPr>
          <w:rFonts w:ascii="Arial" w:cs="Arial" w:eastAsia="Arial" w:hAnsi="Arial"/>
          <w:sz w:val="22"/>
          <w:szCs w:val="22"/>
          <w:color w:val="auto"/>
        </w:rPr>
        <w:t>In consideration for my engagement by the Company, and for other good and valuable consideration, the receipt and sufficiency of which is hereby acknowledged, I hereby agree as follows:</w:t>
      </w:r>
    </w:p>
    <w:p>
      <w:pPr>
        <w:spacing w:after="0" w:line="196" w:lineRule="exact"/>
        <w:rPr>
          <w:sz w:val="20"/>
          <w:szCs w:val="20"/>
          <w:color w:val="auto"/>
        </w:rPr>
      </w:pPr>
    </w:p>
    <w:p>
      <w:pPr>
        <w:ind w:left="749" w:hanging="748"/>
        <w:spacing w:after="0"/>
        <w:tabs>
          <w:tab w:leader="none" w:pos="749"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Inventions and Patents</w:t>
      </w:r>
      <w:r>
        <w:rPr>
          <w:rFonts w:ascii="Arial" w:cs="Arial" w:eastAsia="Arial" w:hAnsi="Arial"/>
          <w:sz w:val="22"/>
          <w:szCs w:val="22"/>
          <w:b w:val="1"/>
          <w:bCs w:val="1"/>
          <w:color w:val="auto"/>
        </w:rPr>
        <w:t>.</w:t>
      </w:r>
    </w:p>
    <w:p>
      <w:pPr>
        <w:spacing w:after="0" w:line="253"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1.1 I will promptly and fully disclose to the Company any and all inventions, discoveries, trade secrets and improvements, whether or not patentable and whether or not they are made, conceived or reduced to practice during working hours or using the Company's data or facilities, which I develop, make, conceive or reduce to practice during my engagement with the Company, either solely or jointly with others (collectively, the "</w:t>
      </w:r>
      <w:r>
        <w:rPr>
          <w:rFonts w:ascii="Arial" w:cs="Arial" w:eastAsia="Arial" w:hAnsi="Arial"/>
          <w:sz w:val="19"/>
          <w:szCs w:val="19"/>
          <w:b w:val="1"/>
          <w:bCs w:val="1"/>
          <w:color w:val="auto"/>
        </w:rPr>
        <w:t>Developments</w:t>
      </w:r>
      <w:r>
        <w:rPr>
          <w:rFonts w:ascii="Arial" w:cs="Arial" w:eastAsia="Arial" w:hAnsi="Arial"/>
          <w:sz w:val="19"/>
          <w:szCs w:val="19"/>
          <w:color w:val="auto"/>
        </w:rPr>
        <w:t>"). All Developments shall be the sole property of the Company, and I hereby assign to the Company, without further compensation, all my right, title and interest in and to the Developments and any and all related patents, patent applications, copyrights, copyright applications, trademarks, trademark applications and trade names in the United States and elsewhere. Notwithstanding the foregoing, Developments shall not include any inventions, discoveries, trade secrets or improvements that:</w:t>
      </w:r>
    </w:p>
    <w:p>
      <w:pPr>
        <w:spacing w:after="0" w:line="3" w:lineRule="exact"/>
        <w:rPr>
          <w:sz w:val="20"/>
          <w:szCs w:val="20"/>
          <w:color w:val="auto"/>
        </w:rPr>
      </w:pPr>
    </w:p>
    <w:p>
      <w:pPr>
        <w:jc w:val="both"/>
        <w:ind w:left="9" w:hanging="9"/>
        <w:spacing w:after="0" w:line="234" w:lineRule="auto"/>
        <w:tabs>
          <w:tab w:leader="none" w:pos="283" w:val="left"/>
        </w:tabs>
        <w:numPr>
          <w:ilvl w:val="0"/>
          <w:numId w:val="93"/>
        </w:numPr>
        <w:rPr>
          <w:rFonts w:ascii="Arial" w:cs="Arial" w:eastAsia="Arial" w:hAnsi="Arial"/>
          <w:sz w:val="22"/>
          <w:szCs w:val="22"/>
          <w:color w:val="auto"/>
        </w:rPr>
      </w:pPr>
      <w:r>
        <w:rPr>
          <w:rFonts w:ascii="Arial" w:cs="Arial" w:eastAsia="Arial" w:hAnsi="Arial"/>
          <w:sz w:val="22"/>
          <w:szCs w:val="22"/>
          <w:color w:val="auto"/>
        </w:rPr>
        <w:t>are not made, conceived or reduced to practice during working hours; (ii) are not made, conceived or reduced to practice using the Company’s information, data or facilities; and (iii) do not relate to the present business of the Company, any business that is competitive therewith, or any future business in which the Company engages.</w:t>
      </w:r>
    </w:p>
    <w:p>
      <w:pPr>
        <w:spacing w:after="0" w:line="214" w:lineRule="exact"/>
        <w:rPr>
          <w:sz w:val="20"/>
          <w:szCs w:val="20"/>
          <w:color w:val="auto"/>
        </w:rPr>
      </w:pPr>
    </w:p>
    <w:p>
      <w:pPr>
        <w:jc w:val="both"/>
        <w:ind w:left="9" w:right="20"/>
        <w:spacing w:after="0"/>
        <w:rPr>
          <w:sz w:val="20"/>
          <w:szCs w:val="20"/>
          <w:color w:val="auto"/>
        </w:rPr>
      </w:pPr>
      <w:r>
        <w:rPr>
          <w:rFonts w:ascii="Arial" w:cs="Arial" w:eastAsia="Arial" w:hAnsi="Arial"/>
          <w:sz w:val="22"/>
          <w:szCs w:val="22"/>
          <w:color w:val="auto"/>
        </w:rPr>
        <w:t>1.2 I will keep and maintain adequate and current written records of all Developments (in the form of notes, sketches, drawings and as may be specified by the Company), which records shall be available to and remain the sole property of the Company at all times.</w:t>
      </w:r>
    </w:p>
    <w:p>
      <w:pPr>
        <w:spacing w:after="0" w:line="227" w:lineRule="exact"/>
        <w:rPr>
          <w:sz w:val="20"/>
          <w:szCs w:val="20"/>
          <w:color w:val="auto"/>
        </w:rPr>
      </w:pPr>
    </w:p>
    <w:p>
      <w:pPr>
        <w:jc w:val="both"/>
        <w:ind w:left="9"/>
        <w:spacing w:after="0" w:line="274" w:lineRule="auto"/>
        <w:rPr>
          <w:sz w:val="20"/>
          <w:szCs w:val="20"/>
          <w:color w:val="auto"/>
        </w:rPr>
      </w:pPr>
      <w:r>
        <w:rPr>
          <w:rFonts w:ascii="Arial" w:cs="Arial" w:eastAsia="Arial" w:hAnsi="Arial"/>
          <w:sz w:val="19"/>
          <w:szCs w:val="19"/>
          <w:color w:val="auto"/>
        </w:rPr>
        <w:t>1.3 I will assist the Company in obtaining and enforcing patent, copyright and other forms of legal protection for the Developments in any country. Upon request, I will sign all applications, assignments, instruments and papers and perform all acts necessary or desired by the Company to assign all such Developments fully and completely to the Company and to enable the Company, its successors, assigns and nominees, to secure and enjoy the full and exclusive benefits and advantages thereof. I understand that my obligations under this Paragraph 1 will continue after the termination of my engagement with the Company and that during my engagement I will perform such obligations without further compensation, except for reimbursement of expenses incurred at the request of the Company. I further understand that if I am requested to perform any obligations under this Paragraph 1 after my engagement with the Company terminates, I shall receive for such performance a reasonable per diem fee, as well as reimbursement of any expenses incurred at the</w:t>
      </w:r>
    </w:p>
    <w:p>
      <w:pPr>
        <w:spacing w:after="0" w:line="37" w:lineRule="exact"/>
        <w:rPr>
          <w:sz w:val="20"/>
          <w:szCs w:val="20"/>
          <w:color w:val="auto"/>
        </w:rPr>
      </w:pPr>
    </w:p>
    <w:p>
      <w:pPr>
        <w:jc w:val="center"/>
        <w:ind w:right="-48"/>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62865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9"/>
          </w:cols>
          <w:pgMar w:left="431" w:top="368" w:right="459" w:bottom="1440" w:gutter="0" w:footer="0" w:header="0"/>
        </w:sectPr>
      </w:pPr>
    </w:p>
    <w:bookmarkStart w:id="150" w:name="page151"/>
    <w:bookmarkEnd w:id="150"/>
    <w:p>
      <w:pPr>
        <w:ind w:left="48"/>
        <w:spacing w:after="0"/>
        <w:rPr>
          <w:sz w:val="20"/>
          <w:szCs w:val="20"/>
          <w:color w:val="auto"/>
        </w:rPr>
      </w:pPr>
      <w:r>
        <w:rPr>
          <w:rFonts w:ascii="Arial" w:cs="Arial" w:eastAsia="Arial" w:hAnsi="Arial"/>
          <w:sz w:val="22"/>
          <w:szCs w:val="22"/>
          <w:color w:val="auto"/>
        </w:rPr>
        <w:t>request of the Company.</w:t>
      </w:r>
    </w:p>
    <w:p>
      <w:pPr>
        <w:spacing w:after="0" w:line="260" w:lineRule="exact"/>
        <w:rPr>
          <w:sz w:val="20"/>
          <w:szCs w:val="20"/>
          <w:color w:val="auto"/>
        </w:rPr>
      </w:pPr>
    </w:p>
    <w:p>
      <w:pPr>
        <w:jc w:val="both"/>
        <w:ind w:left="8"/>
        <w:spacing w:after="0" w:line="244" w:lineRule="auto"/>
        <w:rPr>
          <w:sz w:val="20"/>
          <w:szCs w:val="20"/>
          <w:color w:val="auto"/>
        </w:rPr>
      </w:pPr>
      <w:r>
        <w:rPr>
          <w:rFonts w:ascii="Arial" w:cs="Arial" w:eastAsia="Arial" w:hAnsi="Arial"/>
          <w:sz w:val="21"/>
          <w:szCs w:val="21"/>
          <w:color w:val="auto"/>
        </w:rPr>
        <w:t>1.4 In addition to my agreements set forth in subparagraph 1.3, I hereby constitute and appoint the Company, its successors and assigns, my true and lawful attorney, with full power of substitution for me, and in my name, place and stead or otherwise, but on behalf of and for the benefit of the Company, its successors and assigns, to take all actions and execute all documents on behalf of me necessary to effect the assignment set forth in subparagraph 1.1, and from time to time to institute and prosecute in my name or otherwise, but at the direction and expense and for the benefit of the Company and its successors and assigns, any and all proceedings at law, in equity or otherwise, which the Company, its successors or assigns may deem proper in order to collect, assert or enforce any claim, right or title of any kind in and to the Developments and to defend and compromise any and all actions, suits and proceedings in respect of any of the Developments and to do any and all such acts and things in relation thereto as the Company, its successors or assigns shall deem advisable, and I hereby declare that the appointment hereby made and the powers hereby granted are coupled with an interest and are and shall be irrevocable by me in any manner or for any reason.</w:t>
      </w:r>
    </w:p>
    <w:p>
      <w:pPr>
        <w:spacing w:after="0" w:line="215"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 xml:space="preserve">1.5 In order to avoid disputes over the application of this assignment to prior inventions or copyrightable materials, I have listed on </w:t>
      </w:r>
      <w:r>
        <w:rPr>
          <w:rFonts w:ascii="Arial" w:cs="Arial" w:eastAsia="Arial" w:hAnsi="Arial"/>
          <w:sz w:val="22"/>
          <w:szCs w:val="22"/>
          <w:b w:val="1"/>
          <w:bCs w:val="1"/>
          <w:u w:val="single" w:color="auto"/>
          <w:color w:val="auto"/>
        </w:rPr>
        <w:t>Schedule A</w:t>
      </w:r>
      <w:r>
        <w:rPr>
          <w:rFonts w:ascii="Arial" w:cs="Arial" w:eastAsia="Arial" w:hAnsi="Arial"/>
          <w:sz w:val="22"/>
          <w:szCs w:val="22"/>
          <w:color w:val="auto"/>
        </w:rPr>
        <w:t xml:space="preserve"> to this Agreement descriptions of patentable inventions and copyrightable materials that I have developed and/or reduced to practice prior to my engagement with the Company and that I believe are, accordingly, excepted from the provisions of this Paragraph 1.</w:t>
      </w:r>
    </w:p>
    <w:p>
      <w:pPr>
        <w:spacing w:after="0" w:line="219" w:lineRule="exact"/>
        <w:rPr>
          <w:sz w:val="20"/>
          <w:szCs w:val="20"/>
          <w:color w:val="auto"/>
        </w:rPr>
      </w:pPr>
    </w:p>
    <w:p>
      <w:pPr>
        <w:ind w:left="748" w:hanging="748"/>
        <w:spacing w:after="0"/>
        <w:tabs>
          <w:tab w:leader="none" w:pos="748"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Information</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left="8"/>
        <w:spacing w:after="0" w:line="273" w:lineRule="auto"/>
        <w:rPr>
          <w:sz w:val="20"/>
          <w:szCs w:val="20"/>
          <w:color w:val="auto"/>
        </w:rPr>
      </w:pPr>
      <w:r>
        <w:rPr>
          <w:rFonts w:ascii="Arial" w:cs="Arial" w:eastAsia="Arial" w:hAnsi="Arial"/>
          <w:sz w:val="19"/>
          <w:szCs w:val="19"/>
          <w:color w:val="auto"/>
        </w:rPr>
        <w:t>2.1 I recognize that my relationship with the Company is one of high trust and confidence by reason of my access to and contact with the trade secrets and confidential and proprietary information of the Company and of others through the Company. I will not at any time, either during my engagement with the Company or thereafter, disclose to others, or use for my own benefit or the benefit of others, any of the Developments or any confidential, proprietary or secret information owned, possessed or used by the Company (collectively, "</w:t>
      </w:r>
      <w:r>
        <w:rPr>
          <w:rFonts w:ascii="Arial" w:cs="Arial" w:eastAsia="Arial" w:hAnsi="Arial"/>
          <w:sz w:val="19"/>
          <w:szCs w:val="19"/>
          <w:b w:val="1"/>
          <w:bCs w:val="1"/>
          <w:color w:val="auto"/>
        </w:rPr>
        <w:t>Proprietary Information</w:t>
      </w:r>
      <w:r>
        <w:rPr>
          <w:rFonts w:ascii="Arial" w:cs="Arial" w:eastAsia="Arial" w:hAnsi="Arial"/>
          <w:sz w:val="19"/>
          <w:szCs w:val="19"/>
          <w:color w:val="auto"/>
        </w:rPr>
        <w:t>"). Such property shall not be erased, discarded or destroyed without specific instructions from the Company to do so. By way of illustration, but not limitation, Proprietary Information includes trade secrets, processes, data, knowhow, marketing plans, forecasts, financial statements, budgets, licenses, prices, costs and employee, customer and supplier lists. I understand that the Company from time to time has in its possession information which is claimed by others to be proprietary and which the Company has agreed to keep confidential. I agree that all such information shall be Proprietary Information for purposes of this Agreement.</w:t>
      </w:r>
    </w:p>
    <w:p>
      <w:pPr>
        <w:spacing w:after="0" w:line="201" w:lineRule="exact"/>
        <w:rPr>
          <w:sz w:val="20"/>
          <w:szCs w:val="20"/>
          <w:color w:val="auto"/>
        </w:rPr>
      </w:pPr>
    </w:p>
    <w:p>
      <w:pPr>
        <w:jc w:val="both"/>
        <w:ind w:left="8"/>
        <w:spacing w:after="0" w:line="248" w:lineRule="auto"/>
        <w:rPr>
          <w:sz w:val="20"/>
          <w:szCs w:val="20"/>
          <w:color w:val="auto"/>
        </w:rPr>
      </w:pPr>
      <w:r>
        <w:rPr>
          <w:rFonts w:ascii="Arial" w:cs="Arial" w:eastAsia="Arial" w:hAnsi="Arial"/>
          <w:sz w:val="21"/>
          <w:szCs w:val="21"/>
          <w:color w:val="auto"/>
        </w:rPr>
        <w:t>2.2 My undertaking and obligations under this Paragraph 2 will not apply, however, to any Proprietary Information which: (i) is or becomes generally known to the public through no action on my part; (ii) is generally disclosed to third parties by the Company without restriction on such third parties; (iii) is approved for release by written authorization of the Board of Directors of the Company; or (iv) is required to be disclosed pursuant to subpoena, order of judicial or administrative authority, or in connection with judicial proceedings to which the Company or I am a party, provided that I shall have given the Company written notice of such disclosure at least 14</w:t>
      </w:r>
    </w:p>
    <w:p>
      <w:pPr>
        <w:spacing w:after="0" w:line="55"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62865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32" w:top="320" w:right="459" w:bottom="1440" w:gutter="0" w:footer="0" w:header="0"/>
        </w:sectPr>
      </w:pPr>
    </w:p>
    <w:bookmarkStart w:id="151" w:name="page152"/>
    <w:bookmarkEnd w:id="151"/>
    <w:p>
      <w:pPr>
        <w:jc w:val="both"/>
        <w:ind w:left="8" w:firstLine="54"/>
        <w:spacing w:after="0" w:line="328" w:lineRule="auto"/>
        <w:rPr>
          <w:sz w:val="20"/>
          <w:szCs w:val="20"/>
          <w:color w:val="auto"/>
        </w:rPr>
      </w:pPr>
      <w:r>
        <w:rPr>
          <w:rFonts w:ascii="Arial" w:cs="Arial" w:eastAsia="Arial" w:hAnsi="Arial"/>
          <w:sz w:val="19"/>
          <w:szCs w:val="19"/>
          <w:color w:val="auto"/>
        </w:rPr>
        <w:t>days prior to such disclosure in order to provide the Company with an opportunity to oppose and/or object to such disclosure and any such disclosure is subject to all applicable governmental and judicial protection available for like material.</w:t>
      </w:r>
    </w:p>
    <w:p>
      <w:pPr>
        <w:spacing w:after="0" w:line="159" w:lineRule="exact"/>
        <w:rPr>
          <w:sz w:val="20"/>
          <w:szCs w:val="20"/>
          <w:color w:val="auto"/>
        </w:rPr>
      </w:pPr>
    </w:p>
    <w:p>
      <w:pPr>
        <w:jc w:val="both"/>
        <w:ind w:left="8"/>
        <w:spacing w:after="0" w:line="249" w:lineRule="auto"/>
        <w:rPr>
          <w:sz w:val="20"/>
          <w:szCs w:val="20"/>
          <w:color w:val="auto"/>
        </w:rPr>
      </w:pPr>
      <w:r>
        <w:rPr>
          <w:rFonts w:ascii="Arial" w:cs="Arial" w:eastAsia="Arial" w:hAnsi="Arial"/>
          <w:sz w:val="21"/>
          <w:szCs w:val="21"/>
          <w:color w:val="auto"/>
        </w:rPr>
        <w:t>2.3 Upon termination of my engagement with the Company or at any other time upon request, I will promptly deliver to the Company all copies of computer programs, specifications, drawings, blueprints, data storage devices, notes, memoranda, notebooks, drawings, records, reports, files and other documents (and all copies or reproductions of such materials) in my possession or under my control, whether prepared by me or others, in whatever form on whatever medium, which contain Proprietary Information. I acknowledge that this material is the sole property of the Company.</w:t>
      </w:r>
    </w:p>
    <w:p>
      <w:pPr>
        <w:spacing w:after="0" w:line="219"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2.4 If requested to do so by the Company, I agree to sign a Termination Certificate in which I confirm that I have complied with the requirements of the preceding paragraph and that I am aware that certain restrictions imposed upon me by this Agreement continue after termination of my engagement. I understand, however, that my rights and obligations under this Agreement will continue even if I do not sign a Termination Certificate.</w:t>
      </w:r>
    </w:p>
    <w:p>
      <w:pPr>
        <w:spacing w:after="0" w:line="206" w:lineRule="exact"/>
        <w:rPr>
          <w:sz w:val="20"/>
          <w:szCs w:val="20"/>
          <w:color w:val="auto"/>
        </w:rPr>
      </w:pPr>
    </w:p>
    <w:p>
      <w:pPr>
        <w:ind w:left="748" w:hanging="748"/>
        <w:spacing w:after="0"/>
        <w:tabs>
          <w:tab w:leader="none" w:pos="748"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Absence of Restrictions Upon Disclosure and Competition</w:t>
      </w:r>
      <w:r>
        <w:rPr>
          <w:rFonts w:ascii="Arial" w:cs="Arial" w:eastAsia="Arial" w:hAnsi="Arial"/>
          <w:sz w:val="22"/>
          <w:szCs w:val="22"/>
          <w:b w:val="1"/>
          <w:bCs w:val="1"/>
          <w:color w:val="auto"/>
        </w:rPr>
        <w:t>.</w:t>
      </w:r>
    </w:p>
    <w:p>
      <w:pPr>
        <w:spacing w:after="0" w:line="247" w:lineRule="exact"/>
        <w:rPr>
          <w:sz w:val="20"/>
          <w:szCs w:val="20"/>
          <w:color w:val="auto"/>
        </w:rPr>
      </w:pPr>
    </w:p>
    <w:p>
      <w:pPr>
        <w:jc w:val="both"/>
        <w:ind w:left="8"/>
        <w:spacing w:after="0" w:line="289" w:lineRule="auto"/>
        <w:rPr>
          <w:sz w:val="20"/>
          <w:szCs w:val="20"/>
          <w:color w:val="auto"/>
        </w:rPr>
      </w:pPr>
      <w:r>
        <w:rPr>
          <w:rFonts w:ascii="Arial" w:cs="Arial" w:eastAsia="Arial" w:hAnsi="Arial"/>
          <w:sz w:val="19"/>
          <w:szCs w:val="19"/>
          <w:color w:val="auto"/>
        </w:rPr>
        <w:t xml:space="preserve">3.1 I hereby represent that, except as I have disclosed in writing to the Company, and included in </w:t>
      </w:r>
      <w:r>
        <w:rPr>
          <w:rFonts w:ascii="Arial" w:cs="Arial" w:eastAsia="Arial" w:hAnsi="Arial"/>
          <w:sz w:val="19"/>
          <w:szCs w:val="19"/>
          <w:b w:val="1"/>
          <w:bCs w:val="1"/>
          <w:u w:val="single" w:color="auto"/>
          <w:color w:val="auto"/>
        </w:rPr>
        <w:t>Schedule A</w:t>
      </w:r>
      <w:r>
        <w:rPr>
          <w:rFonts w:ascii="Arial" w:cs="Arial" w:eastAsia="Arial" w:hAnsi="Arial"/>
          <w:sz w:val="19"/>
          <w:szCs w:val="19"/>
          <w:color w:val="auto"/>
        </w:rPr>
        <w:t xml:space="preserve"> to this Agreement, I am not bound by the terms of any agreement with any previous employer or other party to refrain from using or disclosing any trade secret or confidential or proprietary information in the course of my engagement with the Company or to refrain from competing, directly or indirectly, with the business of such previous employer or any other party.</w:t>
      </w:r>
    </w:p>
    <w:p>
      <w:pPr>
        <w:spacing w:after="0" w:line="182"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9"/>
          <w:szCs w:val="19"/>
          <w:color w:val="auto"/>
        </w:rPr>
        <w:t>3.2 I further represent that my performance of all the terms of this Agreement and my engagement with of the Company does not and will not breach any agreement to keep in confidence proprietary information, knowledge or data acquired by me in confidence or in trust prior to my engagement with the Company, and I will not disclose to the Company or induce the Company to use any confidential information or material belonging to any previous employer or others.</w:t>
      </w:r>
    </w:p>
    <w:p>
      <w:pPr>
        <w:spacing w:after="0" w:line="164" w:lineRule="exact"/>
        <w:rPr>
          <w:sz w:val="20"/>
          <w:szCs w:val="20"/>
          <w:color w:val="auto"/>
        </w:rPr>
      </w:pPr>
    </w:p>
    <w:p>
      <w:pPr>
        <w:ind w:left="748" w:hanging="748"/>
        <w:spacing w:after="0"/>
        <w:tabs>
          <w:tab w:leader="none" w:pos="748"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Non-Compete/Non-Solicitation</w:t>
      </w:r>
      <w:r>
        <w:rPr>
          <w:rFonts w:ascii="Arial" w:cs="Arial" w:eastAsia="Arial" w:hAnsi="Arial"/>
          <w:sz w:val="22"/>
          <w:szCs w:val="22"/>
          <w:b w:val="1"/>
          <w:bCs w:val="1"/>
          <w:color w:val="auto"/>
        </w:rPr>
        <w:t>.</w:t>
      </w:r>
    </w:p>
    <w:p>
      <w:pPr>
        <w:spacing w:after="0" w:line="253"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4.1 For so long as I am engaged with the Company and for a period of 12 full months thereafter, I will not, without the express written consent of the Company, directly or indirectly, engage in, participate in, or assist, as owner, part-owner, partner, director, officer, trustee, employee, agent or consultant, or in any other capacity, any business organization or person, do business that is related to internet based behavioral health platforms.</w:t>
      </w:r>
    </w:p>
    <w:p>
      <w:pPr>
        <w:spacing w:after="0" w:line="225"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9"/>
          <w:szCs w:val="19"/>
          <w:color w:val="auto"/>
        </w:rPr>
        <w:t>4.2 I recognize that these restrictions on competition are reasonable because of the Company’s investment in good will and in its customer lists and other proprietary information and my knowledge of the Company’s business and business plans. However if any period of time or geographical area should be judged unreasonable in any judicial proceeding, then the period of time or geographical area shall be reduced to such extent as may be deemed required so as to be reasonable and enforceable.</w:t>
      </w:r>
    </w:p>
    <w:p>
      <w:pPr>
        <w:spacing w:after="0" w:line="8"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62865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32" w:top="320" w:right="459" w:bottom="1440" w:gutter="0" w:footer="0" w:header="0"/>
        </w:sectPr>
      </w:pPr>
    </w:p>
    <w:bookmarkStart w:id="152" w:name="page153"/>
    <w:bookmarkEnd w:id="152"/>
    <w:p>
      <w:pPr>
        <w:jc w:val="both"/>
        <w:ind w:left="8" w:right="20"/>
        <w:spacing w:after="0" w:line="250" w:lineRule="auto"/>
        <w:rPr>
          <w:sz w:val="20"/>
          <w:szCs w:val="20"/>
          <w:color w:val="auto"/>
        </w:rPr>
      </w:pPr>
      <w:r>
        <w:rPr>
          <w:rFonts w:ascii="Arial" w:cs="Arial" w:eastAsia="Arial" w:hAnsi="Arial"/>
          <w:sz w:val="22"/>
          <w:szCs w:val="22"/>
          <w:color w:val="auto"/>
        </w:rPr>
        <w:t>4.3 During my engagement with the Company and for 12 full months thereafter, I will notify the Company in the event I take up a position of any sort with any company or person whose</w:t>
      </w:r>
    </w:p>
    <w:p>
      <w:pPr>
        <w:spacing w:after="0" w:line="229" w:lineRule="exact"/>
        <w:rPr>
          <w:sz w:val="20"/>
          <w:szCs w:val="20"/>
          <w:color w:val="auto"/>
        </w:rPr>
      </w:pPr>
    </w:p>
    <w:p>
      <w:pPr>
        <w:ind w:left="8"/>
        <w:spacing w:after="0"/>
        <w:rPr>
          <w:sz w:val="20"/>
          <w:szCs w:val="20"/>
          <w:color w:val="auto"/>
        </w:rPr>
      </w:pPr>
      <w:r>
        <w:rPr>
          <w:rFonts w:ascii="Arial" w:cs="Arial" w:eastAsia="Arial" w:hAnsi="Arial"/>
          <w:sz w:val="22"/>
          <w:szCs w:val="22"/>
          <w:color w:val="auto"/>
        </w:rPr>
        <w:t>activities or products are directly or indirectly competitive with activities or products of the Company.</w:t>
      </w:r>
    </w:p>
    <w:p>
      <w:pPr>
        <w:spacing w:after="0" w:line="233"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4.4 I shall not recruit or otherwise solicit or induce any employees of the Company, to terminate their engagement with, or otherwise cease their relationships with, the Company or any of its subsidiaries during my engagement with the Company and for a period of 12 full months thereafter. In addition, I shall not recruit or otherwise solicit any person who was an employee of the Company during any time within six (6) months prior to the end of my engagement with the Company.</w:t>
      </w:r>
    </w:p>
    <w:p>
      <w:pPr>
        <w:spacing w:after="0" w:line="177" w:lineRule="exact"/>
        <w:rPr>
          <w:sz w:val="20"/>
          <w:szCs w:val="20"/>
          <w:color w:val="auto"/>
        </w:rPr>
      </w:pPr>
    </w:p>
    <w:p>
      <w:pPr>
        <w:ind w:left="748" w:hanging="748"/>
        <w:spacing w:after="0"/>
        <w:tabs>
          <w:tab w:leader="none" w:pos="748"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Obligations</w:t>
      </w:r>
      <w:r>
        <w:rPr>
          <w:rFonts w:ascii="Arial" w:cs="Arial" w:eastAsia="Arial" w:hAnsi="Arial"/>
          <w:sz w:val="22"/>
          <w:szCs w:val="22"/>
          <w:b w:val="1"/>
          <w:bCs w:val="1"/>
          <w:color w:val="auto"/>
        </w:rPr>
        <w:t>.</w:t>
      </w:r>
    </w:p>
    <w:p>
      <w:pPr>
        <w:spacing w:after="0" w:line="253"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5.1 I acknowledge that the Company from time to time may have agreements with others which impose obligations or restrictions on the Company regarding inventions made during the course of work under such agreements or regarding the confidential nature of such work. I agree to be bound by all such obligations and restrictions which are made known to me and to take all action necessary to discharge the obligations of the Company under such agreements.</w:t>
      </w:r>
    </w:p>
    <w:p>
      <w:pPr>
        <w:spacing w:after="0" w:line="3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5.2 Talkspace contracts with Therapist Consultants to provide certain services and acts, in this respect, as a “Business Associate/ Covered Entity.” As an Employee, you may incidentally or inadvertently encounter, view or access certain Confidential Information maintained by Talkspace which may qualify as Protected Health Information (“</w:t>
      </w:r>
      <w:r>
        <w:rPr>
          <w:rFonts w:ascii="Arial" w:cs="Arial" w:eastAsia="Arial" w:hAnsi="Arial"/>
          <w:sz w:val="19"/>
          <w:szCs w:val="19"/>
          <w:b w:val="1"/>
          <w:bCs w:val="1"/>
          <w:color w:val="auto"/>
        </w:rPr>
        <w:t>PHI</w:t>
      </w:r>
      <w:r>
        <w:rPr>
          <w:rFonts w:ascii="Arial" w:cs="Arial" w:eastAsia="Arial" w:hAnsi="Arial"/>
          <w:sz w:val="19"/>
          <w:szCs w:val="19"/>
          <w:color w:val="auto"/>
        </w:rPr>
        <w:t>”) or electronic PHI within the meaning of the Health Insurance Portability and Accountability Act of 1996, as amended, and the privacy and security standards promulgated pursuant thereto (“</w:t>
      </w:r>
      <w:r>
        <w:rPr>
          <w:rFonts w:ascii="Arial" w:cs="Arial" w:eastAsia="Arial" w:hAnsi="Arial"/>
          <w:sz w:val="19"/>
          <w:szCs w:val="19"/>
          <w:b w:val="1"/>
          <w:bCs w:val="1"/>
          <w:color w:val="auto"/>
        </w:rPr>
        <w:t>HIPAA</w:t>
      </w:r>
      <w:r>
        <w:rPr>
          <w:rFonts w:ascii="Arial" w:cs="Arial" w:eastAsia="Arial" w:hAnsi="Arial"/>
          <w:sz w:val="19"/>
          <w:szCs w:val="19"/>
          <w:color w:val="auto"/>
        </w:rPr>
        <w:t>”). In this case, the definition of “Confidential Information” means any and all non-public, medical, financial and personal information in whatever form (written, oral, visual or electronic) possessed or obtained by either party. Confidential Information shall include all information which (i) either party has labeled in writing as confidential, (ii) is identified at the time of disclosure as confidential, (iii) is commonly regarded as confidential in the health care industry, or (iv) is PHI as defined by HIPAA. You agree that while working with Talkspace to maintain the confidentiality of any PHI that you may incidentally or inadvertent encounter, view or have access as part of your employment. You also agree not to further use or disclose any PHI that you incidentally or inadvertently view or obtains access to and further agree to implement appropriate safeguards to prevent any further use or disclosure of any PHI that you incidentally or inadvertently access. You agree to comply with all applicable laws and regulations, including HIPAA and the HITECH Act, to the extent applicable in your employment, to fulfill your obligations under this Agreement.</w:t>
      </w:r>
    </w:p>
    <w:p>
      <w:pPr>
        <w:spacing w:after="0" w:line="293" w:lineRule="exact"/>
        <w:rPr>
          <w:sz w:val="20"/>
          <w:szCs w:val="20"/>
          <w:color w:val="auto"/>
        </w:rPr>
      </w:pPr>
    </w:p>
    <w:p>
      <w:pPr>
        <w:ind w:left="748" w:hanging="748"/>
        <w:spacing w:after="0"/>
        <w:tabs>
          <w:tab w:leader="none" w:pos="748"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53" w:lineRule="exact"/>
        <w:rPr>
          <w:sz w:val="20"/>
          <w:szCs w:val="20"/>
          <w:color w:val="auto"/>
        </w:rPr>
      </w:pPr>
    </w:p>
    <w:p>
      <w:pPr>
        <w:ind w:left="8" w:right="20"/>
        <w:spacing w:after="0" w:line="250" w:lineRule="auto"/>
        <w:rPr>
          <w:sz w:val="20"/>
          <w:szCs w:val="20"/>
          <w:color w:val="auto"/>
        </w:rPr>
      </w:pPr>
      <w:r>
        <w:rPr>
          <w:rFonts w:ascii="Arial" w:cs="Arial" w:eastAsia="Arial" w:hAnsi="Arial"/>
          <w:sz w:val="22"/>
          <w:szCs w:val="22"/>
          <w:color w:val="auto"/>
        </w:rPr>
        <w:t>6.1 The partial or complete invalidity or unenforceability of any provision of this Agreement shall not affect the validity or enforceability of any other provision of this Agreement.</w:t>
      </w:r>
    </w:p>
    <w:p>
      <w:pPr>
        <w:spacing w:after="0" w:line="256"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62865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32" w:top="577" w:right="459" w:bottom="1440" w:gutter="0" w:footer="0" w:header="0"/>
        </w:sectPr>
      </w:pPr>
    </w:p>
    <w:bookmarkStart w:id="153" w:name="page154"/>
    <w:bookmarkEnd w:id="153"/>
    <w:p>
      <w:pPr>
        <w:jc w:val="both"/>
        <w:ind w:right="20"/>
        <w:spacing w:after="0" w:line="297" w:lineRule="auto"/>
        <w:rPr>
          <w:sz w:val="20"/>
          <w:szCs w:val="20"/>
          <w:color w:val="auto"/>
        </w:rPr>
      </w:pPr>
      <w:r>
        <w:rPr>
          <w:rFonts w:ascii="Arial" w:cs="Arial" w:eastAsia="Arial" w:hAnsi="Arial"/>
          <w:sz w:val="19"/>
          <w:szCs w:val="19"/>
          <w:color w:val="auto"/>
        </w:rPr>
        <w:t>6.2 This Agreement supersedes all prior agreements, written or oral, between me and the Company relating to the subject matter of this Agreement. This Agreement may not be modified, changed or discharged in whole or in part, except by an agreement in writing signed by me and the Company. This Agreement does not constitute an engagement agreement, and no</w:t>
      </w:r>
    </w:p>
    <w:p>
      <w:pPr>
        <w:spacing w:after="0" w:line="188"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changes in my compensation, title or duties or any other terms or conditions of my engagement, including, without limitation, the termination of my engagement, shall affect the provisions of this Agreement except as stated herein.</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6.3 As used herein, the term “Company” shall include </w:t>
      </w:r>
      <w:r>
        <w:rPr>
          <w:rFonts w:ascii="Arial" w:cs="Arial" w:eastAsia="Arial" w:hAnsi="Arial"/>
          <w:sz w:val="22"/>
          <w:szCs w:val="22"/>
          <w:b w:val="1"/>
          <w:bCs w:val="1"/>
          <w:color w:val="auto"/>
        </w:rPr>
        <w:t>Talkspace Inc., Talkspace, Talkspace Network LLC,</w:t>
      </w:r>
      <w:r>
        <w:rPr>
          <w:rFonts w:ascii="Arial" w:cs="Arial" w:eastAsia="Arial" w:hAnsi="Arial"/>
          <w:sz w:val="22"/>
          <w:szCs w:val="22"/>
          <w:color w:val="auto"/>
        </w:rPr>
        <w:t xml:space="preserve"> and any of its predecessors, subsidiaries, subdivisions or affiliates. The Company shall have the right to assign this Agreement to its successors and assigns and all covenants and agreements hereunder shall inure to the benefit of and be enforceable by said successors or assigns. I agree not to assign any of my obligations under this Agreement. This Agreement will be binding upon my heirs, executors and administrators.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6.4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21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6.5 I expressly consent to be bound by the provisions of this Agreement for the benefit of the Company or any subsidiary or affiliate thereof to whom my engagement may be transferred without the necessity that this Agreement be re-signed at the time of such transfer.</w:t>
      </w:r>
    </w:p>
    <w:p>
      <w:pPr>
        <w:spacing w:after="0" w:line="21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6.6 This Agreement shall be deemed to be a sealed instrument and shall be governed by and construed in accordance with the laws of the State of Delaware. I hereby expressly consent to the jurisdiction of the courts of the state where the Company has its principal place of business in the United States (currently New York) to adjudicate any dispute arising under this Agreement.</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6.7 I recognize that irreparable damages would be caused to the Company, and that monetary damages would not compensate the Company for its loss, should I breach the terms of this Agreement. Accordingly, in addition to all other remedies available to the Company at law or in equity, upon a showing by the Company that I have violated or am about to violate the terms of this Agreement, I hereby consent to the entry by a court of competent jurisdiction of an injunction or declaratory judgment enforcing the terms of this Agreement, including without limitation preventing disclosure or further disclosure by me of Proprietary Information.</w:t>
      </w:r>
    </w:p>
    <w:p>
      <w:pPr>
        <w:spacing w:after="0" w:line="228" w:lineRule="exact"/>
        <w:rPr>
          <w:sz w:val="20"/>
          <w:szCs w:val="20"/>
          <w:color w:val="auto"/>
        </w:rPr>
      </w:pPr>
    </w:p>
    <w:p>
      <w:pPr>
        <w:jc w:val="both"/>
        <w:spacing w:after="0"/>
        <w:rPr>
          <w:sz w:val="20"/>
          <w:szCs w:val="20"/>
          <w:color w:val="auto"/>
        </w:rPr>
      </w:pPr>
      <w:r>
        <w:rPr>
          <w:rFonts w:ascii="Arial" w:cs="Arial" w:eastAsia="Arial" w:hAnsi="Arial"/>
          <w:sz w:val="22"/>
          <w:szCs w:val="22"/>
          <w:color w:val="auto"/>
        </w:rPr>
        <w:t>6.8 If any one or more provisions of this Agreement shall for any reason be held to be excessively broad as to time, duration, geographical scope, activity or subject, it shall be construed, by limiting and reducing it, so as to be enforceable to the extent compatible with the applicable law as it shall then appear.</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21" w:right="459" w:bottom="1440" w:gutter="0" w:footer="0" w:header="0"/>
        </w:sectPr>
      </w:pPr>
    </w:p>
    <w:bookmarkStart w:id="154" w:name="page155"/>
    <w:bookmarkEnd w:id="154"/>
    <w:p>
      <w:pPr>
        <w:ind w:left="120" w:right="140"/>
        <w:spacing w:after="0" w:line="250" w:lineRule="auto"/>
        <w:rPr>
          <w:sz w:val="20"/>
          <w:szCs w:val="20"/>
          <w:color w:val="auto"/>
        </w:rPr>
      </w:pPr>
      <w:r>
        <w:rPr>
          <w:rFonts w:ascii="Arial" w:cs="Arial" w:eastAsia="Arial" w:hAnsi="Arial"/>
          <w:sz w:val="22"/>
          <w:szCs w:val="22"/>
          <w:color w:val="auto"/>
        </w:rPr>
        <w:t>I HAVE READ ALL OF THE PROVISIONS OF THIS AGREEMENT AND I UNDERSTAND, AND AGREE TO, EACH OF SUCH PROVISIONS, EFFECTIVE AS OF THE DATE FIRST ENTERED ABOVE.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00" w:type="dxa"/>
            <w:vAlign w:val="bottom"/>
          </w:tcPr>
          <w:p>
            <w:pPr>
              <w:ind w:left="120"/>
              <w:spacing w:after="0"/>
              <w:rPr>
                <w:sz w:val="20"/>
                <w:szCs w:val="20"/>
                <w:color w:val="auto"/>
              </w:rPr>
            </w:pPr>
            <w:r>
              <w:rPr>
                <w:rFonts w:ascii="Arial" w:cs="Arial" w:eastAsia="Arial" w:hAnsi="Arial"/>
                <w:sz w:val="22"/>
                <w:szCs w:val="22"/>
                <w:color w:val="auto"/>
              </w:rPr>
              <w:t>Accepted and Agreed:</w:t>
            </w:r>
          </w:p>
        </w:tc>
        <w:tc>
          <w:tcPr>
            <w:tcW w:w="6840" w:type="dxa"/>
            <w:vAlign w:val="bottom"/>
          </w:tcPr>
          <w:p>
            <w:pPr>
              <w:spacing w:after="0"/>
              <w:rPr>
                <w:sz w:val="23"/>
                <w:szCs w:val="23"/>
                <w:color w:val="auto"/>
              </w:rPr>
            </w:pPr>
          </w:p>
        </w:tc>
      </w:tr>
      <w:tr>
        <w:trPr>
          <w:trHeight w:val="338"/>
        </w:trPr>
        <w:tc>
          <w:tcPr>
            <w:tcW w:w="4400" w:type="dxa"/>
            <w:vAlign w:val="bottom"/>
          </w:tcPr>
          <w:p>
            <w:pPr>
              <w:ind w:left="20"/>
              <w:spacing w:after="0"/>
              <w:rPr>
                <w:sz w:val="20"/>
                <w:szCs w:val="20"/>
                <w:color w:val="auto"/>
              </w:rPr>
            </w:pPr>
            <w:r>
              <w:rPr>
                <w:rFonts w:ascii="Arial" w:cs="Arial" w:eastAsia="Arial" w:hAnsi="Arial"/>
                <w:sz w:val="22"/>
                <w:szCs w:val="22"/>
                <w:b w:val="1"/>
                <w:bCs w:val="1"/>
                <w:color w:val="auto"/>
              </w:rPr>
              <w:t>Talkspace Inc.</w:t>
            </w:r>
          </w:p>
        </w:tc>
        <w:tc>
          <w:tcPr>
            <w:tcW w:w="6840" w:type="dxa"/>
            <w:vAlign w:val="bottom"/>
          </w:tcPr>
          <w:p>
            <w:pPr>
              <w:ind w:left="2380"/>
              <w:spacing w:after="0"/>
              <w:rPr>
                <w:sz w:val="20"/>
                <w:szCs w:val="20"/>
                <w:color w:val="auto"/>
              </w:rPr>
            </w:pPr>
            <w:r>
              <w:rPr>
                <w:rFonts w:ascii="Arial" w:cs="Arial" w:eastAsia="Arial" w:hAnsi="Arial"/>
                <w:sz w:val="22"/>
                <w:szCs w:val="22"/>
                <w:b w:val="1"/>
                <w:bCs w:val="1"/>
                <w:color w:val="auto"/>
              </w:rPr>
              <w:t>Samara Braunstein</w:t>
            </w:r>
          </w:p>
        </w:tc>
      </w:tr>
      <w:tr>
        <w:trPr>
          <w:trHeight w:val="414"/>
        </w:trPr>
        <w:tc>
          <w:tcPr>
            <w:tcW w:w="4400" w:type="dxa"/>
            <w:vAlign w:val="bottom"/>
          </w:tcPr>
          <w:p>
            <w:pPr>
              <w:ind w:left="20"/>
              <w:spacing w:after="0"/>
              <w:rPr>
                <w:sz w:val="20"/>
                <w:szCs w:val="20"/>
                <w:color w:val="auto"/>
              </w:rPr>
            </w:pPr>
            <w:r>
              <w:rPr>
                <w:rFonts w:ascii="Arial" w:cs="Arial" w:eastAsia="Arial" w:hAnsi="Arial"/>
                <w:sz w:val="22"/>
                <w:szCs w:val="22"/>
                <w:color w:val="auto"/>
              </w:rPr>
              <w:t>/s/ Oren Frank</w:t>
            </w:r>
          </w:p>
        </w:tc>
        <w:tc>
          <w:tcPr>
            <w:tcW w:w="6840" w:type="dxa"/>
            <w:vAlign w:val="bottom"/>
          </w:tcPr>
          <w:p>
            <w:pPr>
              <w:ind w:left="2380"/>
              <w:spacing w:after="0"/>
              <w:rPr>
                <w:sz w:val="20"/>
                <w:szCs w:val="20"/>
                <w:color w:val="auto"/>
              </w:rPr>
            </w:pPr>
            <w:r>
              <w:rPr>
                <w:rFonts w:ascii="Arial" w:cs="Arial" w:eastAsia="Arial" w:hAnsi="Arial"/>
                <w:sz w:val="22"/>
                <w:szCs w:val="22"/>
                <w:color w:val="auto"/>
              </w:rPr>
              <w:t>/s/ Samara Braunstein</w:t>
            </w:r>
          </w:p>
        </w:tc>
      </w:tr>
      <w:tr>
        <w:trPr>
          <w:trHeight w:val="229"/>
        </w:trPr>
        <w:tc>
          <w:tcPr>
            <w:tcW w:w="4400" w:type="dxa"/>
            <w:vAlign w:val="bottom"/>
          </w:tcPr>
          <w:p>
            <w:pPr>
              <w:ind w:left="20"/>
              <w:spacing w:after="0" w:line="229" w:lineRule="exact"/>
              <w:rPr>
                <w:sz w:val="20"/>
                <w:szCs w:val="20"/>
                <w:color w:val="auto"/>
              </w:rPr>
            </w:pPr>
            <w:r>
              <w:rPr>
                <w:rFonts w:ascii="Arial" w:cs="Arial" w:eastAsia="Arial" w:hAnsi="Arial"/>
                <w:sz w:val="22"/>
                <w:szCs w:val="22"/>
                <w:color w:val="auto"/>
              </w:rPr>
              <w:t>Oren Frank</w:t>
            </w:r>
          </w:p>
        </w:tc>
        <w:tc>
          <w:tcPr>
            <w:tcW w:w="6840" w:type="dxa"/>
            <w:vAlign w:val="bottom"/>
          </w:tcPr>
          <w:p>
            <w:pPr>
              <w:spacing w:after="0"/>
              <w:rPr>
                <w:sz w:val="19"/>
                <w:szCs w:val="19"/>
                <w:color w:val="auto"/>
              </w:rPr>
            </w:pPr>
          </w:p>
        </w:tc>
      </w:tr>
      <w:tr>
        <w:trPr>
          <w:trHeight w:val="230"/>
        </w:trPr>
        <w:tc>
          <w:tcPr>
            <w:tcW w:w="4400" w:type="dxa"/>
            <w:vAlign w:val="bottom"/>
          </w:tcPr>
          <w:p>
            <w:pPr>
              <w:ind w:left="20"/>
              <w:spacing w:after="0" w:line="229" w:lineRule="exact"/>
              <w:rPr>
                <w:sz w:val="20"/>
                <w:szCs w:val="20"/>
                <w:color w:val="auto"/>
              </w:rPr>
            </w:pPr>
            <w:r>
              <w:rPr>
                <w:rFonts w:ascii="Arial" w:cs="Arial" w:eastAsia="Arial" w:hAnsi="Arial"/>
                <w:sz w:val="22"/>
                <w:szCs w:val="22"/>
                <w:color w:val="auto"/>
              </w:rPr>
              <w:t>CEO</w:t>
            </w:r>
          </w:p>
        </w:tc>
        <w:tc>
          <w:tcPr>
            <w:tcW w:w="6840" w:type="dxa"/>
            <w:vAlign w:val="bottom"/>
          </w:tcPr>
          <w:p>
            <w:pPr>
              <w:spacing w:after="0"/>
              <w:rPr>
                <w:sz w:val="19"/>
                <w:szCs w:val="19"/>
                <w:color w:val="auto"/>
              </w:rPr>
            </w:pPr>
          </w:p>
        </w:tc>
      </w:tr>
      <w:tr>
        <w:trPr>
          <w:trHeight w:val="274"/>
        </w:trPr>
        <w:tc>
          <w:tcPr>
            <w:tcW w:w="4400" w:type="dxa"/>
            <w:vAlign w:val="bottom"/>
          </w:tcPr>
          <w:p>
            <w:pPr>
              <w:ind w:left="20"/>
              <w:spacing w:after="0"/>
              <w:rPr>
                <w:sz w:val="20"/>
                <w:szCs w:val="20"/>
                <w:color w:val="auto"/>
              </w:rPr>
            </w:pPr>
            <w:r>
              <w:rPr>
                <w:rFonts w:ascii="Arial" w:cs="Arial" w:eastAsia="Arial" w:hAnsi="Arial"/>
                <w:sz w:val="22"/>
                <w:szCs w:val="22"/>
                <w:color w:val="auto"/>
              </w:rPr>
              <w:t>Date: 6/22/21</w:t>
            </w:r>
          </w:p>
        </w:tc>
        <w:tc>
          <w:tcPr>
            <w:tcW w:w="6840" w:type="dxa"/>
            <w:vAlign w:val="bottom"/>
          </w:tcPr>
          <w:p>
            <w:pPr>
              <w:ind w:left="2380"/>
              <w:spacing w:after="0"/>
              <w:rPr>
                <w:sz w:val="20"/>
                <w:szCs w:val="20"/>
                <w:color w:val="auto"/>
              </w:rPr>
            </w:pPr>
            <w:r>
              <w:rPr>
                <w:rFonts w:ascii="Arial" w:cs="Arial" w:eastAsia="Arial" w:hAnsi="Arial"/>
                <w:sz w:val="22"/>
                <w:szCs w:val="22"/>
                <w:color w:val="auto"/>
              </w:rPr>
              <w:t>Date: 6/22/21</w:t>
            </w:r>
          </w:p>
        </w:tc>
      </w:tr>
      <w:tr>
        <w:trPr>
          <w:trHeight w:val="307"/>
        </w:trPr>
        <w:tc>
          <w:tcPr>
            <w:tcW w:w="440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sectPr>
      </w:pPr>
    </w:p>
    <w:bookmarkStart w:id="155" w:name="page156"/>
    <w:bookmarkEnd w:id="155"/>
    <w:p>
      <w:pPr>
        <w:jc w:val="center"/>
        <w:ind w:right="59"/>
        <w:spacing w:after="0"/>
        <w:rPr>
          <w:sz w:val="20"/>
          <w:szCs w:val="20"/>
          <w:color w:val="auto"/>
        </w:rPr>
      </w:pPr>
      <w:r>
        <w:rPr>
          <w:rFonts w:ascii="Arial" w:cs="Arial" w:eastAsia="Arial" w:hAnsi="Arial"/>
          <w:sz w:val="21"/>
          <w:szCs w:val="21"/>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74295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165100</wp:posOffset>
            </wp:positionV>
            <wp:extent cx="2503170" cy="7289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6">
                      <a:extLst>
                        <a:ext uri="{28A0092B-C50C-407E-A947-70E740481C1C}"/>
                      </a:extLst>
                    </a:blip>
                    <a:srcRect/>
                    <a:stretch>
                      <a:fillRect/>
                    </a:stretch>
                  </pic:blipFill>
                  <pic:spPr bwMode="auto">
                    <a:xfrm>
                      <a:off x="0" y="0"/>
                      <a:ext cx="250317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340"/>
        <w:spacing w:after="0"/>
        <w:rPr>
          <w:sz w:val="20"/>
          <w:szCs w:val="20"/>
          <w:color w:val="auto"/>
        </w:rPr>
      </w:pPr>
      <w:r>
        <w:rPr>
          <w:rFonts w:ascii="Arial" w:cs="Arial" w:eastAsia="Arial" w:hAnsi="Arial"/>
          <w:sz w:val="22"/>
          <w:szCs w:val="22"/>
          <w:color w:val="auto"/>
        </w:rPr>
        <w:t>June 22, 2021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Dear John Reilly,</w:t>
      </w:r>
    </w:p>
    <w:p>
      <w:pPr>
        <w:spacing w:after="0" w:line="223" w:lineRule="exact"/>
        <w:rPr>
          <w:sz w:val="20"/>
          <w:szCs w:val="20"/>
          <w:color w:val="auto"/>
        </w:rPr>
      </w:pPr>
    </w:p>
    <w:p>
      <w:pPr>
        <w:jc w:val="both"/>
        <w:ind w:right="120"/>
        <w:spacing w:after="0" w:line="254" w:lineRule="auto"/>
        <w:rPr>
          <w:sz w:val="20"/>
          <w:szCs w:val="20"/>
          <w:color w:val="auto"/>
        </w:rPr>
      </w:pPr>
      <w:r>
        <w:rPr>
          <w:rFonts w:ascii="Arial" w:cs="Arial" w:eastAsia="Arial" w:hAnsi="Arial"/>
          <w:sz w:val="21"/>
          <w:szCs w:val="21"/>
          <w:color w:val="auto"/>
        </w:rPr>
        <w:t>Talkspace, Inc. (d.b.a. Talkspace)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is very pleased to offer you the position of </w:t>
      </w:r>
      <w:r>
        <w:rPr>
          <w:rFonts w:ascii="Arial" w:cs="Arial" w:eastAsia="Arial" w:hAnsi="Arial"/>
          <w:sz w:val="21"/>
          <w:szCs w:val="21"/>
          <w:b w:val="1"/>
          <w:bCs w:val="1"/>
          <w:color w:val="auto"/>
        </w:rPr>
        <w:t>General Counsel</w:t>
      </w:r>
      <w:r>
        <w:rPr>
          <w:rFonts w:ascii="Arial" w:cs="Arial" w:eastAsia="Arial" w:hAnsi="Arial"/>
          <w:sz w:val="21"/>
          <w:szCs w:val="21"/>
          <w:color w:val="auto"/>
        </w:rPr>
        <w:t xml:space="preserve"> reporting directly to the Company’s President with an anticipated start date of July 1, 2021. You shall devote your full working time, attention and best efforts to fulfill your duties and to further the business and interests of the Company. This agreement supersedes all prior offer letters, agreements, and any other documentation of employment.</w:t>
      </w:r>
    </w:p>
    <w:p>
      <w:pPr>
        <w:spacing w:after="0" w:line="185" w:lineRule="exact"/>
        <w:rPr>
          <w:sz w:val="20"/>
          <w:szCs w:val="20"/>
          <w:color w:val="auto"/>
        </w:rPr>
      </w:pPr>
    </w:p>
    <w:p>
      <w:pPr>
        <w:jc w:val="both"/>
        <w:ind w:left="740" w:right="120" w:hanging="374"/>
        <w:spacing w:after="0" w:line="287" w:lineRule="auto"/>
        <w:tabs>
          <w:tab w:leader="none" w:pos="74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You will receive an annual salary of $260,000, subject to tax and other withholdings as required by law, which will be paid semi-monthly in accordance with the Company's normal payroll procedures (your “</w:t>
      </w:r>
      <w:r>
        <w:rPr>
          <w:rFonts w:ascii="Arial" w:cs="Arial" w:eastAsia="Arial" w:hAnsi="Arial"/>
          <w:sz w:val="19"/>
          <w:szCs w:val="19"/>
          <w:b w:val="1"/>
          <w:bCs w:val="1"/>
          <w:color w:val="auto"/>
        </w:rPr>
        <w:t>Base</w:t>
      </w:r>
      <w:r>
        <w:rPr>
          <w:rFonts w:ascii="Arial" w:cs="Arial" w:eastAsia="Arial" w:hAnsi="Arial"/>
          <w:sz w:val="19"/>
          <w:szCs w:val="19"/>
          <w:color w:val="auto"/>
        </w:rPr>
        <w:t xml:space="preserve"> </w:t>
      </w:r>
      <w:r>
        <w:rPr>
          <w:rFonts w:ascii="Arial" w:cs="Arial" w:eastAsia="Arial" w:hAnsi="Arial"/>
          <w:sz w:val="19"/>
          <w:szCs w:val="19"/>
          <w:b w:val="1"/>
          <w:bCs w:val="1"/>
          <w:color w:val="auto"/>
        </w:rPr>
        <w:t>Salary</w:t>
      </w:r>
      <w:r>
        <w:rPr>
          <w:rFonts w:ascii="Arial" w:cs="Arial" w:eastAsia="Arial" w:hAnsi="Arial"/>
          <w:sz w:val="19"/>
          <w:szCs w:val="19"/>
          <w:color w:val="auto"/>
        </w:rPr>
        <w:t>”). Your Base Salary may be adjusted from time to time in accordance with normal business practice and at the</w:t>
      </w:r>
      <w:r>
        <w:rPr>
          <w:rFonts w:ascii="Arial" w:cs="Arial" w:eastAsia="Arial" w:hAnsi="Arial"/>
          <w:sz w:val="19"/>
          <w:szCs w:val="19"/>
          <w:b w:val="1"/>
          <w:bCs w:val="1"/>
          <w:color w:val="auto"/>
        </w:rPr>
        <w:t xml:space="preserve"> </w:t>
      </w:r>
      <w:r>
        <w:rPr>
          <w:rFonts w:ascii="Arial" w:cs="Arial" w:eastAsia="Arial" w:hAnsi="Arial"/>
          <w:sz w:val="19"/>
          <w:szCs w:val="19"/>
          <w:color w:val="auto"/>
        </w:rPr>
        <w:t>sole discretion of the Company. You shall be an “exempt” employee not working hourly or eligible for overtime.</w:t>
      </w:r>
    </w:p>
    <w:p>
      <w:pPr>
        <w:spacing w:after="0" w:line="177" w:lineRule="exact"/>
        <w:rPr>
          <w:sz w:val="20"/>
          <w:szCs w:val="20"/>
          <w:color w:val="auto"/>
        </w:rPr>
      </w:pPr>
    </w:p>
    <w:p>
      <w:pPr>
        <w:jc w:val="both"/>
        <w:ind w:right="120"/>
        <w:spacing w:after="0" w:line="283" w:lineRule="auto"/>
        <w:rPr>
          <w:sz w:val="20"/>
          <w:szCs w:val="20"/>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You will be eligible for an annual bonus under the Company’s annual incentive program (your “</w:t>
      </w:r>
      <w:r>
        <w:rPr>
          <w:rFonts w:ascii="Arial" w:cs="Arial" w:eastAsia="Arial" w:hAnsi="Arial"/>
          <w:sz w:val="19"/>
          <w:szCs w:val="19"/>
          <w:b w:val="1"/>
          <w:bCs w:val="1"/>
          <w:color w:val="auto"/>
        </w:rPr>
        <w:t>Annual Bonus</w:t>
      </w:r>
      <w:r>
        <w:rPr>
          <w:rFonts w:ascii="Arial" w:cs="Arial" w:eastAsia="Arial" w:hAnsi="Arial"/>
          <w:sz w:val="19"/>
          <w:szCs w:val="19"/>
          <w:color w:val="auto"/>
        </w:rPr>
        <w:t>”). Your target Annual Bonus will be equal to 30% of your Base Salary, evenly divided between Individual and Company goals. You have the potential to achieve up to 60% of your Base Salary based on achieving max goals as defined by the Talkspace Strategic Scorecard. Your Annual Bonus will be awarded based on the achievement of both individual and Company goals as communicated to you by the Company on an annual basis, and subject to the terms and conditions of the applicable program.</w:t>
      </w:r>
    </w:p>
    <w:p>
      <w:pPr>
        <w:spacing w:after="0" w:line="122" w:lineRule="exact"/>
        <w:rPr>
          <w:sz w:val="20"/>
          <w:szCs w:val="20"/>
          <w:color w:val="auto"/>
        </w:rPr>
      </w:pPr>
    </w:p>
    <w:p>
      <w:pPr>
        <w:ind w:left="740" w:hanging="374"/>
        <w:spacing w:after="0"/>
        <w:tabs>
          <w:tab w:leader="none" w:pos="74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Equity Award</w:t>
      </w:r>
      <w:r>
        <w:rPr>
          <w:rFonts w:ascii="Arial" w:cs="Arial" w:eastAsia="Arial" w:hAnsi="Arial"/>
          <w:sz w:val="22"/>
          <w:szCs w:val="22"/>
          <w:color w:val="auto"/>
        </w:rPr>
        <w:t>.</w:t>
      </w:r>
    </w:p>
    <w:p>
      <w:pPr>
        <w:spacing w:after="0" w:line="240" w:lineRule="exact"/>
        <w:rPr>
          <w:rFonts w:ascii="Arial" w:cs="Arial" w:eastAsia="Arial" w:hAnsi="Arial"/>
          <w:sz w:val="22"/>
          <w:szCs w:val="22"/>
          <w:color w:val="auto"/>
        </w:rPr>
      </w:pPr>
    </w:p>
    <w:p>
      <w:pPr>
        <w:jc w:val="both"/>
        <w:ind w:left="1480" w:right="120" w:hanging="365"/>
        <w:spacing w:after="0" w:line="247" w:lineRule="auto"/>
        <w:tabs>
          <w:tab w:leader="none" w:pos="1480" w:val="left"/>
        </w:tabs>
        <w:numPr>
          <w:ilvl w:val="1"/>
          <w:numId w:val="100"/>
        </w:numPr>
        <w:rPr>
          <w:rFonts w:ascii="Arial" w:cs="Arial" w:eastAsia="Arial" w:hAnsi="Arial"/>
          <w:sz w:val="21"/>
          <w:szCs w:val="21"/>
          <w:color w:val="auto"/>
        </w:rPr>
      </w:pPr>
      <w:r>
        <w:rPr>
          <w:rFonts w:ascii="Arial" w:cs="Arial" w:eastAsia="Arial" w:hAnsi="Arial"/>
          <w:sz w:val="21"/>
          <w:szCs w:val="21"/>
          <w:color w:val="auto"/>
        </w:rPr>
        <w:t>Subject to approval of the Board of Directors of the Company (or a subcommittee thereof) (the “</w:t>
      </w:r>
      <w:r>
        <w:rPr>
          <w:rFonts w:ascii="Arial" w:cs="Arial" w:eastAsia="Arial" w:hAnsi="Arial"/>
          <w:sz w:val="21"/>
          <w:szCs w:val="21"/>
          <w:b w:val="1"/>
          <w:bCs w:val="1"/>
          <w:color w:val="auto"/>
        </w:rPr>
        <w:t>Board</w:t>
      </w:r>
      <w:r>
        <w:rPr>
          <w:rFonts w:ascii="Arial" w:cs="Arial" w:eastAsia="Arial" w:hAnsi="Arial"/>
          <w:sz w:val="21"/>
          <w:szCs w:val="21"/>
          <w:color w:val="auto"/>
        </w:rPr>
        <w:t>”), the Company shall grant to you equity-based compensation awards under the Talkspace, Inc. 2021 Incentive Award Plan (the “</w:t>
      </w:r>
      <w:r>
        <w:rPr>
          <w:rFonts w:ascii="Arial" w:cs="Arial" w:eastAsia="Arial" w:hAnsi="Arial"/>
          <w:sz w:val="21"/>
          <w:szCs w:val="21"/>
          <w:b w:val="1"/>
          <w:bCs w:val="1"/>
          <w:color w:val="auto"/>
        </w:rPr>
        <w:t>Plan</w:t>
      </w:r>
      <w:r>
        <w:rPr>
          <w:rFonts w:ascii="Arial" w:cs="Arial" w:eastAsia="Arial" w:hAnsi="Arial"/>
          <w:sz w:val="21"/>
          <w:szCs w:val="21"/>
          <w:color w:val="auto"/>
        </w:rPr>
        <w:t>”) with an aggregate share number equal to 309,375 shares. Of such amount, 20% or 61,875 units will be granted in the form of a restricted stock unit award (the “</w:t>
      </w:r>
      <w:r>
        <w:rPr>
          <w:rFonts w:ascii="Arial" w:cs="Arial" w:eastAsia="Arial" w:hAnsi="Arial"/>
          <w:sz w:val="21"/>
          <w:szCs w:val="21"/>
          <w:b w:val="1"/>
          <w:bCs w:val="1"/>
          <w:color w:val="auto"/>
        </w:rPr>
        <w:t>RSU Award</w:t>
      </w:r>
      <w:r>
        <w:rPr>
          <w:rFonts w:ascii="Arial" w:cs="Arial" w:eastAsia="Arial" w:hAnsi="Arial"/>
          <w:sz w:val="21"/>
          <w:szCs w:val="21"/>
          <w:color w:val="auto"/>
        </w:rPr>
        <w:t>”) and the remaining 80% (247,500) shall be granted in the form of an option to purchase Company common stock (the “</w:t>
      </w:r>
      <w:r>
        <w:rPr>
          <w:rFonts w:ascii="Arial" w:cs="Arial" w:eastAsia="Arial" w:hAnsi="Arial"/>
          <w:sz w:val="21"/>
          <w:szCs w:val="21"/>
          <w:b w:val="1"/>
          <w:bCs w:val="1"/>
          <w:color w:val="auto"/>
        </w:rPr>
        <w:t>Stock Option</w:t>
      </w:r>
      <w:r>
        <w:rPr>
          <w:rFonts w:ascii="Arial" w:cs="Arial" w:eastAsia="Arial" w:hAnsi="Arial"/>
          <w:sz w:val="21"/>
          <w:szCs w:val="21"/>
          <w:color w:val="auto"/>
        </w:rPr>
        <w:t>” and, together with the RSU Award, the “</w:t>
      </w:r>
      <w:r>
        <w:rPr>
          <w:rFonts w:ascii="Arial" w:cs="Arial" w:eastAsia="Arial" w:hAnsi="Arial"/>
          <w:sz w:val="21"/>
          <w:szCs w:val="21"/>
          <w:b w:val="1"/>
          <w:bCs w:val="1"/>
          <w:color w:val="auto"/>
        </w:rPr>
        <w:t>Award</w:t>
      </w:r>
      <w:r>
        <w:rPr>
          <w:rFonts w:ascii="Arial" w:cs="Arial" w:eastAsia="Arial" w:hAnsi="Arial"/>
          <w:sz w:val="21"/>
          <w:szCs w:val="21"/>
          <w:color w:val="auto"/>
        </w:rPr>
        <w:t>”), in each case, subject to your continued employment through the applicable vesting date.</w:t>
      </w:r>
    </w:p>
    <w:p>
      <w:pPr>
        <w:spacing w:after="0" w:line="223" w:lineRule="exact"/>
        <w:rPr>
          <w:rFonts w:ascii="Arial" w:cs="Arial" w:eastAsia="Arial" w:hAnsi="Arial"/>
          <w:sz w:val="21"/>
          <w:szCs w:val="21"/>
          <w:color w:val="auto"/>
        </w:rPr>
      </w:pPr>
    </w:p>
    <w:p>
      <w:pPr>
        <w:jc w:val="both"/>
        <w:ind w:left="1480" w:right="120" w:hanging="365"/>
        <w:spacing w:after="0"/>
        <w:tabs>
          <w:tab w:leader="none" w:pos="14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number of shares of Company common stock subject to the RSU Award will be determined by dividing the applicable RSU Award grant value by the Fair Market Value (as defined in the Plan) of the Company’s common stock on the applicable grant date.</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15" w:right="339" w:bottom="1440" w:gutter="0" w:footer="0" w:header="0"/>
        </w:sectPr>
      </w:pPr>
    </w:p>
    <w:bookmarkStart w:id="157" w:name="page158"/>
    <w:bookmarkEnd w:id="157"/>
    <w:p>
      <w:pPr>
        <w:jc w:val="both"/>
        <w:ind w:left="1120" w:hanging="365"/>
        <w:spacing w:after="0" w:line="248" w:lineRule="auto"/>
        <w:tabs>
          <w:tab w:leader="none" w:pos="1120"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The Stock Option shall be a non-qualified stock option, shall have an exercise price per share equal to the Fair Market Value of the Company’s common stock on the applicable grant date, and shall have a maximum term of ten years from the applicable grant date. The number of shares of Company common stock subject to the Stock Option will be determined by dividing the applicable Stock Option grant value by the per share Black-Scholes valuation as of the applicable grant date, utilizing the same assumptions that the Company uses in the preparation of its financial statements.</w:t>
      </w:r>
    </w:p>
    <w:p>
      <w:pPr>
        <w:spacing w:after="0" w:line="217" w:lineRule="exact"/>
        <w:rPr>
          <w:rFonts w:ascii="Arial" w:cs="Arial" w:eastAsia="Arial" w:hAnsi="Arial"/>
          <w:sz w:val="21"/>
          <w:szCs w:val="21"/>
          <w:color w:val="auto"/>
        </w:rPr>
      </w:pPr>
    </w:p>
    <w:p>
      <w:pPr>
        <w:jc w:val="both"/>
        <w:ind w:left="1120" w:hanging="365"/>
        <w:spacing w:after="0" w:line="277" w:lineRule="auto"/>
        <w:tabs>
          <w:tab w:leader="none" w:pos="112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Subject to your continued service with the Company through the applicable vesting date, each Award shall vest (and become exercisable, as applicable) (x) with respect to 100% of the equity underlying such Award, in substantially equal installments on each of the 16 quarterly anniversaries thereafter. The terms and conditions of each Award shall be set forth in one or more separate award agreement(s) in a form(s) prescribed by the Company, to be entered into by the Company and you (the “</w:t>
      </w:r>
      <w:r>
        <w:rPr>
          <w:rFonts w:ascii="Arial" w:cs="Arial" w:eastAsia="Arial" w:hAnsi="Arial"/>
          <w:sz w:val="19"/>
          <w:szCs w:val="19"/>
          <w:b w:val="1"/>
          <w:bCs w:val="1"/>
          <w:color w:val="auto"/>
        </w:rPr>
        <w:t>Award Agreements</w:t>
      </w:r>
      <w:r>
        <w:rPr>
          <w:rFonts w:ascii="Arial" w:cs="Arial" w:eastAsia="Arial" w:hAnsi="Arial"/>
          <w:sz w:val="19"/>
          <w:szCs w:val="19"/>
          <w:color w:val="auto"/>
        </w:rPr>
        <w:t>”). Except as otherwise specifically provided in this Agreement, each Award shall be governed in all respects by the terms of and conditions of the Plan and the applicable Award Agreement.</w:t>
      </w:r>
    </w:p>
    <w:p>
      <w:pPr>
        <w:spacing w:after="0" w:line="178" w:lineRule="exact"/>
        <w:rPr>
          <w:rFonts w:ascii="Arial" w:cs="Arial" w:eastAsia="Arial" w:hAnsi="Arial"/>
          <w:sz w:val="19"/>
          <w:szCs w:val="19"/>
          <w:color w:val="auto"/>
        </w:rPr>
      </w:pPr>
    </w:p>
    <w:p>
      <w:pPr>
        <w:ind w:left="1120" w:right="20" w:hanging="365"/>
        <w:spacing w:after="0" w:line="250" w:lineRule="auto"/>
        <w:tabs>
          <w:tab w:leader="none" w:pos="112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Beginning in calendar year 2022, you will be eligible to receive an annual equity-based award as determined by the Board from time to time.</w:t>
      </w:r>
    </w:p>
    <w:p>
      <w:pPr>
        <w:spacing w:after="0" w:line="215" w:lineRule="exact"/>
        <w:rPr>
          <w:rFonts w:ascii="Arial" w:cs="Arial" w:eastAsia="Arial" w:hAnsi="Arial"/>
          <w:sz w:val="22"/>
          <w:szCs w:val="22"/>
          <w:color w:val="auto"/>
        </w:rPr>
      </w:pPr>
    </w:p>
    <w:p>
      <w:pPr>
        <w:jc w:val="both"/>
        <w:ind w:left="380" w:hanging="374"/>
        <w:spacing w:after="0"/>
        <w:tabs>
          <w:tab w:leader="none" w:pos="38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During your employment, you will be entitled to the benefits generally made available to regular, full-time salaried employees of the Company as summarized in the attached Benefits Overview. The Company reserves the right to adjust its benefits program from time to time as the Company sees fit.</w:t>
      </w:r>
    </w:p>
    <w:p>
      <w:pPr>
        <w:spacing w:after="0" w:line="226" w:lineRule="exact"/>
        <w:rPr>
          <w:rFonts w:ascii="Arial" w:cs="Arial" w:eastAsia="Arial" w:hAnsi="Arial"/>
          <w:sz w:val="22"/>
          <w:szCs w:val="22"/>
          <w:color w:val="auto"/>
        </w:rPr>
      </w:pPr>
    </w:p>
    <w:p>
      <w:pPr>
        <w:jc w:val="both"/>
        <w:ind w:left="380" w:hanging="374"/>
        <w:spacing w:after="0" w:line="246" w:lineRule="auto"/>
        <w:tabs>
          <w:tab w:leader="none" w:pos="380"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Conditions to Employment</w:t>
      </w:r>
      <w:r>
        <w:rPr>
          <w:rFonts w:ascii="Arial" w:cs="Arial" w:eastAsia="Arial" w:hAnsi="Arial"/>
          <w:sz w:val="21"/>
          <w:szCs w:val="21"/>
          <w:color w:val="auto"/>
        </w:rPr>
        <w:t xml:space="preserve">. As a condition of your employment, you are required to review and sign the Invention, Non-Disclosure, Non-Competition and Non-Solicitation Agreement attached hereto as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b w:val="1"/>
          <w:bCs w:val="1"/>
          <w:color w:val="auto"/>
        </w:rPr>
        <w:t>Restrictive</w:t>
      </w:r>
      <w:r>
        <w:rPr>
          <w:rFonts w:ascii="Arial" w:cs="Arial" w:eastAsia="Arial" w:hAnsi="Arial"/>
          <w:sz w:val="21"/>
          <w:szCs w:val="21"/>
          <w:color w:val="auto"/>
        </w:rPr>
        <w:t xml:space="preserve"> </w:t>
      </w:r>
      <w:r>
        <w:rPr>
          <w:rFonts w:ascii="Arial" w:cs="Arial" w:eastAsia="Arial" w:hAnsi="Arial"/>
          <w:sz w:val="21"/>
          <w:szCs w:val="21"/>
          <w:b w:val="1"/>
          <w:bCs w:val="1"/>
          <w:color w:val="auto"/>
        </w:rPr>
        <w:t>Covenant Agreement</w:t>
      </w:r>
      <w:r>
        <w:rPr>
          <w:rFonts w:ascii="Arial" w:cs="Arial" w:eastAsia="Arial" w:hAnsi="Arial"/>
          <w:sz w:val="21"/>
          <w:szCs w:val="21"/>
          <w:color w:val="auto"/>
        </w:rPr>
        <w:t>”) and the Company’s Employee Handbook.</w:t>
      </w:r>
      <w:r>
        <w:rPr>
          <w:rFonts w:ascii="Arial" w:cs="Arial" w:eastAsia="Arial" w:hAnsi="Arial"/>
          <w:sz w:val="21"/>
          <w:szCs w:val="21"/>
          <w:b w:val="1"/>
          <w:bCs w:val="1"/>
          <w:color w:val="auto"/>
        </w:rPr>
        <w:t xml:space="preserve"> </w:t>
      </w:r>
      <w:r>
        <w:rPr>
          <w:rFonts w:ascii="Arial" w:cs="Arial" w:eastAsia="Arial" w:hAnsi="Arial"/>
          <w:sz w:val="21"/>
          <w:szCs w:val="21"/>
          <w:color w:val="212121"/>
        </w:rPr>
        <w:t>This employment offer is further contingent upon</w:t>
      </w:r>
      <w:r>
        <w:rPr>
          <w:rFonts w:ascii="Arial" w:cs="Arial" w:eastAsia="Arial" w:hAnsi="Arial"/>
          <w:sz w:val="21"/>
          <w:szCs w:val="21"/>
          <w:b w:val="1"/>
          <w:bCs w:val="1"/>
          <w:color w:val="auto"/>
        </w:rPr>
        <w:t xml:space="preserve"> </w:t>
      </w:r>
      <w:r>
        <w:rPr>
          <w:rFonts w:ascii="Arial" w:cs="Arial" w:eastAsia="Arial" w:hAnsi="Arial"/>
          <w:sz w:val="21"/>
          <w:szCs w:val="21"/>
          <w:color w:val="212121"/>
        </w:rPr>
        <w:t xml:space="preserve">your successful completion of a background check. A thorough background check is also a contractual requirement by many of our customers as a condition of doing business. </w:t>
      </w:r>
      <w:r>
        <w:rPr>
          <w:rFonts w:ascii="Arial" w:cs="Arial" w:eastAsia="Arial" w:hAnsi="Arial"/>
          <w:sz w:val="21"/>
          <w:szCs w:val="21"/>
          <w:color w:val="000000"/>
        </w:rPr>
        <w:t>You will also be required to complete applicable</w:t>
      </w:r>
      <w:r>
        <w:rPr>
          <w:rFonts w:ascii="Arial" w:cs="Arial" w:eastAsia="Arial" w:hAnsi="Arial"/>
          <w:sz w:val="21"/>
          <w:szCs w:val="21"/>
          <w:color w:val="212121"/>
        </w:rPr>
        <w:t xml:space="preserve"> </w:t>
      </w:r>
      <w:r>
        <w:rPr>
          <w:rFonts w:ascii="Arial" w:cs="Arial" w:eastAsia="Arial" w:hAnsi="Arial"/>
          <w:sz w:val="21"/>
          <w:szCs w:val="21"/>
          <w:color w:val="000000"/>
        </w:rPr>
        <w:t>immigration, payroll and tax forms, and to provide documentation of your eligibility to work in the United States, as required by the Immigration Reform and Control Act of 1986.</w:t>
      </w:r>
    </w:p>
    <w:p>
      <w:pPr>
        <w:spacing w:after="0" w:line="211" w:lineRule="exact"/>
        <w:rPr>
          <w:rFonts w:ascii="Arial" w:cs="Arial" w:eastAsia="Arial" w:hAnsi="Arial"/>
          <w:sz w:val="21"/>
          <w:szCs w:val="21"/>
          <w:color w:val="auto"/>
        </w:rPr>
      </w:pPr>
    </w:p>
    <w:p>
      <w:pPr>
        <w:jc w:val="both"/>
        <w:ind w:left="380" w:right="20" w:hanging="374"/>
        <w:spacing w:after="0" w:line="238" w:lineRule="auto"/>
        <w:tabs>
          <w:tab w:leader="none" w:pos="38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Your employment with the Company is for no specified period and constitutes "at-will" employment in that it can be terminated with or without cause, and with or without notice, at any time, at the option of either the Company or yourself, except as otherwise provided by law. All issues related to separation and severance are covered separately in the Talkspace Executive Severance Plan.</w:t>
      </w:r>
    </w:p>
    <w:p>
      <w:pPr>
        <w:spacing w:after="0" w:line="211" w:lineRule="exact"/>
        <w:rPr>
          <w:rFonts w:ascii="Arial" w:cs="Arial" w:eastAsia="Arial" w:hAnsi="Arial"/>
          <w:sz w:val="22"/>
          <w:szCs w:val="22"/>
          <w:color w:val="auto"/>
        </w:rPr>
      </w:pPr>
    </w:p>
    <w:p>
      <w:pPr>
        <w:ind w:left="380" w:right="20" w:hanging="374"/>
        <w:spacing w:after="0" w:line="328" w:lineRule="auto"/>
        <w:tabs>
          <w:tab w:leader="none" w:pos="38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letter, along with the Restrictive Covenant Agreement, sets forth the terms of your employment with the Company and supersede any prior representations or agreements whether written or oral.</w:t>
      </w:r>
    </w:p>
    <w:p>
      <w:pPr>
        <w:spacing w:after="0" w:line="18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62865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00" w:top="375" w:right="459" w:bottom="1440" w:gutter="0" w:footer="0" w:header="0"/>
        </w:sectPr>
      </w:pPr>
    </w:p>
    <w:bookmarkStart w:id="158" w:name="page159"/>
    <w:bookmarkEnd w:id="158"/>
    <w:p>
      <w:pPr>
        <w:ind w:left="760" w:hanging="374"/>
        <w:spacing w:after="0"/>
        <w:tabs>
          <w:tab w:leader="none" w:pos="76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500" w:hanging="365"/>
        <w:spacing w:after="0" w:line="235" w:lineRule="auto"/>
        <w:tabs>
          <w:tab w:leader="none" w:pos="15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validity, interpretation, enforceability, and performance of this letter shall be governed by and construed in accordance with the laws of the State of New York, without giving effect to conflict of laws provisions thereof. Each party hereto hereby consents to the personal and exclusive jurisdiction and venue of the courts of the State of New York and expressly waives any claim of improper venue and any claim that such courts are an inconvenient forum. By your acceptance of this offer letter, you agree to submit to the jurisdiction of such courts.</w:t>
      </w:r>
    </w:p>
    <w:p>
      <w:pPr>
        <w:spacing w:after="0" w:line="214" w:lineRule="exact"/>
        <w:rPr>
          <w:rFonts w:ascii="Arial" w:cs="Arial" w:eastAsia="Arial" w:hAnsi="Arial"/>
          <w:sz w:val="22"/>
          <w:szCs w:val="22"/>
          <w:color w:val="auto"/>
        </w:rPr>
      </w:pPr>
    </w:p>
    <w:p>
      <w:pPr>
        <w:jc w:val="both"/>
        <w:ind w:left="1500" w:hanging="365"/>
        <w:spacing w:after="0"/>
        <w:tabs>
          <w:tab w:leader="none" w:pos="15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You represent that 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227" w:lineRule="exact"/>
        <w:rPr>
          <w:sz w:val="20"/>
          <w:szCs w:val="20"/>
          <w:color w:val="auto"/>
        </w:rPr>
      </w:pPr>
    </w:p>
    <w:p>
      <w:pPr>
        <w:jc w:val="both"/>
        <w:ind w:left="20" w:right="20" w:firstLine="749"/>
        <w:spacing w:after="0"/>
        <w:rPr>
          <w:sz w:val="20"/>
          <w:szCs w:val="20"/>
          <w:color w:val="auto"/>
        </w:rPr>
      </w:pPr>
      <w:r>
        <w:rPr>
          <w:rFonts w:ascii="Arial" w:cs="Arial" w:eastAsia="Arial" w:hAnsi="Arial"/>
          <w:sz w:val="22"/>
          <w:szCs w:val="22"/>
          <w:color w:val="auto"/>
        </w:rPr>
        <w:t>If you agree with and accept the terms of this offer of employment, please sign below and return this letter to me. This offer shall expire in three business days; however, if you need additional time to consider, please contact us at peopleops@talkspace.com. We look forward to having you join Talkspace.</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Oren Frank</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Oren Frank CEO</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Talkspace, Inc.</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AGREED AND ACCEPTED BY: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John Reilly</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John Reilly</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6/22/21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-17780</wp:posOffset>
            </wp:positionV>
            <wp:extent cx="723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9">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62865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766" w:right="459" w:bottom="1440" w:gutter="0" w:footer="0" w:header="0"/>
        </w:sectPr>
      </w:pPr>
    </w:p>
    <w:bookmarkStart w:id="159" w:name="page160"/>
    <w:bookmarkEnd w:id="159"/>
    <w:p>
      <w:pPr>
        <w:jc w:val="center"/>
        <w:ind w:right="11"/>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u w:val="single" w:color="auto"/>
          <w:color w:val="auto"/>
        </w:rPr>
        <w:t>Invention, Non-Disclosure, Non-Competition and Non-Solicitation Agreement</w:t>
      </w:r>
    </w:p>
    <w:p>
      <w:pPr>
        <w:spacing w:after="0" w:line="239" w:lineRule="exact"/>
        <w:rPr>
          <w:sz w:val="20"/>
          <w:szCs w:val="20"/>
          <w:color w:val="auto"/>
        </w:rPr>
      </w:pPr>
    </w:p>
    <w:p>
      <w:pPr>
        <w:jc w:val="both"/>
        <w:ind w:left="9" w:right="20"/>
        <w:spacing w:after="0" w:line="238" w:lineRule="auto"/>
        <w:rPr>
          <w:sz w:val="20"/>
          <w:szCs w:val="20"/>
          <w:color w:val="auto"/>
        </w:rPr>
      </w:pPr>
      <w:r>
        <w:rPr>
          <w:rFonts w:ascii="Arial" w:cs="Arial" w:eastAsia="Arial" w:hAnsi="Arial"/>
          <w:sz w:val="22"/>
          <w:szCs w:val="22"/>
          <w:color w:val="auto"/>
        </w:rPr>
        <w:t>This Invention, Non-Disclosure, Non-Competition and Non-Solicitation Agreement (hereinafter referred to as the “</w:t>
      </w:r>
      <w:r>
        <w:rPr>
          <w:rFonts w:ascii="Arial" w:cs="Arial" w:eastAsia="Arial" w:hAnsi="Arial"/>
          <w:sz w:val="22"/>
          <w:szCs w:val="22"/>
          <w:b w:val="1"/>
          <w:bCs w:val="1"/>
          <w:color w:val="auto"/>
        </w:rPr>
        <w:t>Agreement</w:t>
      </w:r>
      <w:r>
        <w:rPr>
          <w:rFonts w:ascii="Arial" w:cs="Arial" w:eastAsia="Arial" w:hAnsi="Arial"/>
          <w:sz w:val="22"/>
          <w:szCs w:val="22"/>
          <w:color w:val="auto"/>
        </w:rPr>
        <w:t>”) is dated as of June 22, 2021 (hereinafter referred to as the “</w:t>
      </w:r>
      <w:r>
        <w:rPr>
          <w:rFonts w:ascii="Arial" w:cs="Arial" w:eastAsia="Arial" w:hAnsi="Arial"/>
          <w:sz w:val="22"/>
          <w:szCs w:val="22"/>
          <w:b w:val="1"/>
          <w:bCs w:val="1"/>
          <w:color w:val="auto"/>
        </w:rPr>
        <w:t>Effective Date</w:t>
      </w:r>
      <w:r>
        <w:rPr>
          <w:rFonts w:ascii="Arial" w:cs="Arial" w:eastAsia="Arial" w:hAnsi="Arial"/>
          <w:sz w:val="22"/>
          <w:szCs w:val="22"/>
          <w:color w:val="auto"/>
        </w:rPr>
        <w:t>”) and is between: Talkspace, Inc. (d.b.a. Talkspace) (hereinafter the “</w:t>
      </w:r>
      <w:r>
        <w:rPr>
          <w:rFonts w:ascii="Arial" w:cs="Arial" w:eastAsia="Arial" w:hAnsi="Arial"/>
          <w:sz w:val="22"/>
          <w:szCs w:val="22"/>
          <w:b w:val="1"/>
          <w:bCs w:val="1"/>
          <w:color w:val="auto"/>
        </w:rPr>
        <w:t>Company</w:t>
      </w:r>
      <w:r>
        <w:rPr>
          <w:rFonts w:ascii="Arial" w:cs="Arial" w:eastAsia="Arial" w:hAnsi="Arial"/>
          <w:sz w:val="22"/>
          <w:szCs w:val="22"/>
          <w:color w:val="auto"/>
        </w:rPr>
        <w:t>”), having a place of business at 2578 Broadway #607, New York, NY 10025, and John Reilly (hereinafter referred to in the first person as "</w:t>
      </w:r>
      <w:r>
        <w:rPr>
          <w:rFonts w:ascii="Arial" w:cs="Arial" w:eastAsia="Arial" w:hAnsi="Arial"/>
          <w:sz w:val="22"/>
          <w:szCs w:val="22"/>
          <w:b w:val="1"/>
          <w:bCs w:val="1"/>
          <w:color w:val="auto"/>
        </w:rPr>
        <w:t>I</w:t>
      </w:r>
      <w:r>
        <w:rPr>
          <w:rFonts w:ascii="Arial" w:cs="Arial" w:eastAsia="Arial" w:hAnsi="Arial"/>
          <w:sz w:val="22"/>
          <w:szCs w:val="22"/>
          <w:color w:val="auto"/>
        </w:rPr>
        <w:t>," "</w:t>
      </w:r>
      <w:r>
        <w:rPr>
          <w:rFonts w:ascii="Arial" w:cs="Arial" w:eastAsia="Arial" w:hAnsi="Arial"/>
          <w:sz w:val="22"/>
          <w:szCs w:val="22"/>
          <w:b w:val="1"/>
          <w:bCs w:val="1"/>
          <w:color w:val="auto"/>
        </w:rPr>
        <w:t>me</w:t>
      </w:r>
      <w:r>
        <w:rPr>
          <w:rFonts w:ascii="Arial" w:cs="Arial" w:eastAsia="Arial" w:hAnsi="Arial"/>
          <w:sz w:val="22"/>
          <w:szCs w:val="22"/>
          <w:color w:val="auto"/>
        </w:rPr>
        <w:t>" or "</w:t>
      </w:r>
      <w:r>
        <w:rPr>
          <w:rFonts w:ascii="Arial" w:cs="Arial" w:eastAsia="Arial" w:hAnsi="Arial"/>
          <w:sz w:val="22"/>
          <w:szCs w:val="22"/>
          <w:b w:val="1"/>
          <w:bCs w:val="1"/>
          <w:color w:val="auto"/>
        </w:rPr>
        <w:t>my</w:t>
      </w:r>
      <w:r>
        <w:rPr>
          <w:rFonts w:ascii="Arial" w:cs="Arial" w:eastAsia="Arial" w:hAnsi="Arial"/>
          <w:sz w:val="22"/>
          <w:szCs w:val="22"/>
          <w:color w:val="auto"/>
        </w:rPr>
        <w:t>").</w:t>
      </w:r>
    </w:p>
    <w:p>
      <w:pPr>
        <w:spacing w:after="0" w:line="212" w:lineRule="exact"/>
        <w:rPr>
          <w:sz w:val="20"/>
          <w:szCs w:val="20"/>
          <w:color w:val="auto"/>
        </w:rPr>
      </w:pPr>
    </w:p>
    <w:p>
      <w:pPr>
        <w:jc w:val="both"/>
        <w:ind w:left="9" w:right="20"/>
        <w:spacing w:after="0" w:line="250" w:lineRule="auto"/>
        <w:rPr>
          <w:sz w:val="20"/>
          <w:szCs w:val="20"/>
          <w:color w:val="auto"/>
        </w:rPr>
      </w:pPr>
      <w:r>
        <w:rPr>
          <w:rFonts w:ascii="Arial" w:cs="Arial" w:eastAsia="Arial" w:hAnsi="Arial"/>
          <w:sz w:val="22"/>
          <w:szCs w:val="22"/>
          <w:color w:val="auto"/>
        </w:rPr>
        <w:t>In consideration for my engagement by the Company, and for other good and valuable consideration, the receipt and sufficiency of which is hereby acknowledged, I hereby agree as follows:</w:t>
      </w:r>
    </w:p>
    <w:p>
      <w:pPr>
        <w:spacing w:after="0" w:line="196" w:lineRule="exact"/>
        <w:rPr>
          <w:sz w:val="20"/>
          <w:szCs w:val="20"/>
          <w:color w:val="auto"/>
        </w:rPr>
      </w:pPr>
    </w:p>
    <w:p>
      <w:pPr>
        <w:ind w:left="749" w:hanging="748"/>
        <w:spacing w:after="0"/>
        <w:tabs>
          <w:tab w:leader="none" w:pos="749"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Inventions and Patents</w:t>
      </w:r>
      <w:r>
        <w:rPr>
          <w:rFonts w:ascii="Arial" w:cs="Arial" w:eastAsia="Arial" w:hAnsi="Arial"/>
          <w:sz w:val="22"/>
          <w:szCs w:val="22"/>
          <w:b w:val="1"/>
          <w:bCs w:val="1"/>
          <w:color w:val="auto"/>
        </w:rPr>
        <w:t>.</w:t>
      </w:r>
    </w:p>
    <w:p>
      <w:pPr>
        <w:spacing w:after="0" w:line="253"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1.1 I will promptly and fully disclose to the Company any and all inventions, discoveries, trade secrets and improvements, whether or not patentable and whether or not they are made, conceived or reduced to practice during working hours or using the Company's data or facilities, which I develop, make, conceive or reduce to practice during my engagement with the Company, either solely or jointly with others (collectively, the "</w:t>
      </w:r>
      <w:r>
        <w:rPr>
          <w:rFonts w:ascii="Arial" w:cs="Arial" w:eastAsia="Arial" w:hAnsi="Arial"/>
          <w:sz w:val="19"/>
          <w:szCs w:val="19"/>
          <w:b w:val="1"/>
          <w:bCs w:val="1"/>
          <w:color w:val="auto"/>
        </w:rPr>
        <w:t>Developments</w:t>
      </w:r>
      <w:r>
        <w:rPr>
          <w:rFonts w:ascii="Arial" w:cs="Arial" w:eastAsia="Arial" w:hAnsi="Arial"/>
          <w:sz w:val="19"/>
          <w:szCs w:val="19"/>
          <w:color w:val="auto"/>
        </w:rPr>
        <w:t>"). All Developments shall be the sole property of the Company, and I hereby assign to the Company, without further compensation, all my right, title and interest in and to the Developments and any and all related patents, patent applications, copyrights, copyright applications, trademarks, trademark applications and trade names in the United States and elsewhere. Notwithstanding the foregoing, Developments shall not include any inventions, discoveries, trade secrets or improvements that:</w:t>
      </w:r>
    </w:p>
    <w:p>
      <w:pPr>
        <w:spacing w:after="0" w:line="3" w:lineRule="exact"/>
        <w:rPr>
          <w:sz w:val="20"/>
          <w:szCs w:val="20"/>
          <w:color w:val="auto"/>
        </w:rPr>
      </w:pPr>
    </w:p>
    <w:p>
      <w:pPr>
        <w:jc w:val="both"/>
        <w:ind w:left="9" w:hanging="9"/>
        <w:spacing w:after="0" w:line="234" w:lineRule="auto"/>
        <w:tabs>
          <w:tab w:leader="none" w:pos="28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are not made, conceived or reduced to practice during working hours; (ii) are not made, conceived or reduced to practice using the Company’s information, data or facilities; and (iii) do not relate to the present business of the Company, any business that is competitive therewith, or any future business in which the Company engages.</w:t>
      </w:r>
    </w:p>
    <w:p>
      <w:pPr>
        <w:spacing w:after="0" w:line="214" w:lineRule="exact"/>
        <w:rPr>
          <w:sz w:val="20"/>
          <w:szCs w:val="20"/>
          <w:color w:val="auto"/>
        </w:rPr>
      </w:pPr>
    </w:p>
    <w:p>
      <w:pPr>
        <w:jc w:val="both"/>
        <w:ind w:left="9" w:right="20"/>
        <w:spacing w:after="0"/>
        <w:rPr>
          <w:sz w:val="20"/>
          <w:szCs w:val="20"/>
          <w:color w:val="auto"/>
        </w:rPr>
      </w:pPr>
      <w:r>
        <w:rPr>
          <w:rFonts w:ascii="Arial" w:cs="Arial" w:eastAsia="Arial" w:hAnsi="Arial"/>
          <w:sz w:val="22"/>
          <w:szCs w:val="22"/>
          <w:color w:val="auto"/>
        </w:rPr>
        <w:t>1.2 I will keep and maintain adequate and current written records of all Developments (in the form of notes, sketches, drawings and as may be specified by the Company), which records shall be available to and remain the sole property of the Company at all times.</w:t>
      </w:r>
    </w:p>
    <w:p>
      <w:pPr>
        <w:spacing w:after="0" w:line="227" w:lineRule="exact"/>
        <w:rPr>
          <w:sz w:val="20"/>
          <w:szCs w:val="20"/>
          <w:color w:val="auto"/>
        </w:rPr>
      </w:pPr>
    </w:p>
    <w:p>
      <w:pPr>
        <w:jc w:val="both"/>
        <w:ind w:left="9"/>
        <w:spacing w:after="0" w:line="274" w:lineRule="auto"/>
        <w:rPr>
          <w:sz w:val="20"/>
          <w:szCs w:val="20"/>
          <w:color w:val="auto"/>
        </w:rPr>
      </w:pPr>
      <w:r>
        <w:rPr>
          <w:rFonts w:ascii="Arial" w:cs="Arial" w:eastAsia="Arial" w:hAnsi="Arial"/>
          <w:sz w:val="19"/>
          <w:szCs w:val="19"/>
          <w:color w:val="auto"/>
        </w:rPr>
        <w:t>1.3 I will assist the Company in obtaining and enforcing patent, copyright and other forms of legal protection for the Developments in any country. Upon request, I will sign all applications, assignments, instruments and papers and perform all acts necessary or desired by the Company to assign all such Developments fully and completely to the Company and to enable the Company, its successors, assigns and nominees, to secure and enjoy the full and exclusive benefits and advantages thereof. I understand that my obligations under this Paragraph 1 will continue after the termination of my engagement with the Company and that during my engagement I will perform such obligations without further compensation, except for reimbursement of expenses incurred at the request of the Company. I further understand that if I am requested to perform any obligations under this Paragraph 1 after my engagement with the Company terminates, I shall receive for such performance a reasonable per diem fee, as well as reimbursement of any expenses incurred at the</w:t>
      </w:r>
    </w:p>
    <w:p>
      <w:pPr>
        <w:spacing w:after="0" w:line="37" w:lineRule="exact"/>
        <w:rPr>
          <w:sz w:val="20"/>
          <w:szCs w:val="20"/>
          <w:color w:val="auto"/>
        </w:rPr>
      </w:pPr>
    </w:p>
    <w:p>
      <w:pPr>
        <w:jc w:val="center"/>
        <w:ind w:right="-48"/>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62865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9"/>
          </w:cols>
          <w:pgMar w:left="431" w:top="369" w:right="459" w:bottom="1440" w:gutter="0" w:footer="0" w:header="0"/>
        </w:sectPr>
      </w:pPr>
    </w:p>
    <w:bookmarkStart w:id="160" w:name="page161"/>
    <w:bookmarkEnd w:id="160"/>
    <w:p>
      <w:pPr>
        <w:ind w:left="48"/>
        <w:spacing w:after="0"/>
        <w:rPr>
          <w:sz w:val="20"/>
          <w:szCs w:val="20"/>
          <w:color w:val="auto"/>
        </w:rPr>
      </w:pPr>
      <w:r>
        <w:rPr>
          <w:rFonts w:ascii="Arial" w:cs="Arial" w:eastAsia="Arial" w:hAnsi="Arial"/>
          <w:sz w:val="22"/>
          <w:szCs w:val="22"/>
          <w:color w:val="auto"/>
        </w:rPr>
        <w:t>request of the Company.</w:t>
      </w:r>
    </w:p>
    <w:p>
      <w:pPr>
        <w:spacing w:after="0" w:line="260" w:lineRule="exact"/>
        <w:rPr>
          <w:sz w:val="20"/>
          <w:szCs w:val="20"/>
          <w:color w:val="auto"/>
        </w:rPr>
      </w:pPr>
    </w:p>
    <w:p>
      <w:pPr>
        <w:jc w:val="both"/>
        <w:ind w:left="8"/>
        <w:spacing w:after="0" w:line="244" w:lineRule="auto"/>
        <w:rPr>
          <w:sz w:val="20"/>
          <w:szCs w:val="20"/>
          <w:color w:val="auto"/>
        </w:rPr>
      </w:pPr>
      <w:r>
        <w:rPr>
          <w:rFonts w:ascii="Arial" w:cs="Arial" w:eastAsia="Arial" w:hAnsi="Arial"/>
          <w:sz w:val="21"/>
          <w:szCs w:val="21"/>
          <w:color w:val="auto"/>
        </w:rPr>
        <w:t>1.4 In addition to my agreements set forth in subparagraph 1.3, I hereby constitute and appoint the Company, its successors and assigns, my true and lawful attorney, with full power of substitution for me, and in my name, place and stead or otherwise, but on behalf of and for the benefit of the Company, its successors and assigns, to take all actions and execute all documents on behalf of me necessary to effect the assignment set forth in subparagraph 1.1, and from time to time to institute and prosecute in my name or otherwise, but at the direction and expense and for the benefit of the Company and its successors and assigns, any and all proceedings at law, in equity or otherwise, which the Company, its successors or assigns may deem proper in order to collect, assert or enforce any claim, right or title of any kind in and to the Developments and to defend and compromise any and all actions, suits and proceedings in respect of any of the Developments and to do any and all such acts and things in relation thereto as the Company, its successors or assigns shall deem advisable, and I hereby declare that the appointment hereby made and the powers hereby granted are coupled with an interest and are and shall be irrevocable by me in any manner or for any reason.</w:t>
      </w:r>
    </w:p>
    <w:p>
      <w:pPr>
        <w:spacing w:after="0" w:line="215"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 xml:space="preserve">1.5 In order to avoid disputes over the application of this assignment to prior inventions or copyrightable materials, I have listed on </w:t>
      </w:r>
      <w:r>
        <w:rPr>
          <w:rFonts w:ascii="Arial" w:cs="Arial" w:eastAsia="Arial" w:hAnsi="Arial"/>
          <w:sz w:val="22"/>
          <w:szCs w:val="22"/>
          <w:b w:val="1"/>
          <w:bCs w:val="1"/>
          <w:u w:val="single" w:color="auto"/>
          <w:color w:val="auto"/>
        </w:rPr>
        <w:t>Schedule A</w:t>
      </w:r>
      <w:r>
        <w:rPr>
          <w:rFonts w:ascii="Arial" w:cs="Arial" w:eastAsia="Arial" w:hAnsi="Arial"/>
          <w:sz w:val="22"/>
          <w:szCs w:val="22"/>
          <w:color w:val="auto"/>
        </w:rPr>
        <w:t xml:space="preserve"> to this Agreement descriptions of patentable inventions and copyrightable materials that I have developed and/or reduced to practice prior to my engagement with the Company and that I believe are, accordingly, excepted from the provisions of this Paragraph 1.</w:t>
      </w:r>
    </w:p>
    <w:p>
      <w:pPr>
        <w:spacing w:after="0" w:line="219" w:lineRule="exact"/>
        <w:rPr>
          <w:sz w:val="20"/>
          <w:szCs w:val="20"/>
          <w:color w:val="auto"/>
        </w:rPr>
      </w:pPr>
    </w:p>
    <w:p>
      <w:pPr>
        <w:ind w:left="748" w:hanging="748"/>
        <w:spacing w:after="0"/>
        <w:tabs>
          <w:tab w:leader="none" w:pos="748"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Information</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left="8"/>
        <w:spacing w:after="0" w:line="273" w:lineRule="auto"/>
        <w:rPr>
          <w:sz w:val="20"/>
          <w:szCs w:val="20"/>
          <w:color w:val="auto"/>
        </w:rPr>
      </w:pPr>
      <w:r>
        <w:rPr>
          <w:rFonts w:ascii="Arial" w:cs="Arial" w:eastAsia="Arial" w:hAnsi="Arial"/>
          <w:sz w:val="19"/>
          <w:szCs w:val="19"/>
          <w:color w:val="auto"/>
        </w:rPr>
        <w:t>2.1 I recognize that my relationship with the Company is one of high trust and confidence by reason of my access to and contact with the trade secrets and confidential and proprietary information of the Company and of others through the Company. I will not at any time, either during my engagement with the Company or thereafter, disclose to others, or use for my own benefit or the benefit of others, any of the Developments or any confidential, proprietary or secret information owned, possessed or used by the Company (collectively, "</w:t>
      </w:r>
      <w:r>
        <w:rPr>
          <w:rFonts w:ascii="Arial" w:cs="Arial" w:eastAsia="Arial" w:hAnsi="Arial"/>
          <w:sz w:val="19"/>
          <w:szCs w:val="19"/>
          <w:b w:val="1"/>
          <w:bCs w:val="1"/>
          <w:color w:val="auto"/>
        </w:rPr>
        <w:t>Proprietary Information</w:t>
      </w:r>
      <w:r>
        <w:rPr>
          <w:rFonts w:ascii="Arial" w:cs="Arial" w:eastAsia="Arial" w:hAnsi="Arial"/>
          <w:sz w:val="19"/>
          <w:szCs w:val="19"/>
          <w:color w:val="auto"/>
        </w:rPr>
        <w:t>"). Such property shall not be erased, discarded or destroyed without specific instructions from the Company to do so. By way of illustration, but not limitation, Proprietary Information includes trade secrets, processes, data, knowhow, marketing plans, forecasts, financial statements, budgets, licenses, prices, costs and employee, customer and supplier lists. I understand that the Company from time to time has in its possession information which is claimed by others to be proprietary and which the Company has agreed to keep confidential. I agree that all such information shall be Proprietary Information for purposes of this Agreement.</w:t>
      </w:r>
    </w:p>
    <w:p>
      <w:pPr>
        <w:spacing w:after="0" w:line="201" w:lineRule="exact"/>
        <w:rPr>
          <w:sz w:val="20"/>
          <w:szCs w:val="20"/>
          <w:color w:val="auto"/>
        </w:rPr>
      </w:pPr>
    </w:p>
    <w:p>
      <w:pPr>
        <w:jc w:val="both"/>
        <w:ind w:left="8"/>
        <w:spacing w:after="0" w:line="248" w:lineRule="auto"/>
        <w:rPr>
          <w:sz w:val="20"/>
          <w:szCs w:val="20"/>
          <w:color w:val="auto"/>
        </w:rPr>
      </w:pPr>
      <w:r>
        <w:rPr>
          <w:rFonts w:ascii="Arial" w:cs="Arial" w:eastAsia="Arial" w:hAnsi="Arial"/>
          <w:sz w:val="21"/>
          <w:szCs w:val="21"/>
          <w:color w:val="auto"/>
        </w:rPr>
        <w:t>2.2 My undertaking and obligations under this Paragraph 2 will not apply, however, to any Proprietary Information which: (i) is or becomes generally known to the public through no action on my part; (ii) is generally disclosed to third parties by the Company without restriction on such third parties; (iii) is approved for release by written authorization of the Board of Directors of the Company; or (iv) is required to be disclosed pursuant to subpoena, order of judicial or administrative authority, or in connection with judicial proceedings to which the Company or I am a party, provided that I shall have given the Company written notice of such disclosure at least 14</w:t>
      </w:r>
    </w:p>
    <w:p>
      <w:pPr>
        <w:spacing w:after="0" w:line="55"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62865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32" w:top="321" w:right="459" w:bottom="1440" w:gutter="0" w:footer="0" w:header="0"/>
        </w:sectPr>
      </w:pPr>
    </w:p>
    <w:bookmarkStart w:id="161" w:name="page162"/>
    <w:bookmarkEnd w:id="161"/>
    <w:p>
      <w:pPr>
        <w:jc w:val="both"/>
        <w:ind w:left="8" w:firstLine="54"/>
        <w:spacing w:after="0" w:line="328" w:lineRule="auto"/>
        <w:rPr>
          <w:sz w:val="20"/>
          <w:szCs w:val="20"/>
          <w:color w:val="auto"/>
        </w:rPr>
      </w:pPr>
      <w:r>
        <w:rPr>
          <w:rFonts w:ascii="Arial" w:cs="Arial" w:eastAsia="Arial" w:hAnsi="Arial"/>
          <w:sz w:val="19"/>
          <w:szCs w:val="19"/>
          <w:color w:val="auto"/>
        </w:rPr>
        <w:t>days prior to such disclosure in order to provide the Company with an opportunity to oppose and/or object to such disclosure and any such disclosure is subject to all applicable governmental and judicial protection available for like material.</w:t>
      </w:r>
    </w:p>
    <w:p>
      <w:pPr>
        <w:spacing w:after="0" w:line="159" w:lineRule="exact"/>
        <w:rPr>
          <w:sz w:val="20"/>
          <w:szCs w:val="20"/>
          <w:color w:val="auto"/>
        </w:rPr>
      </w:pPr>
    </w:p>
    <w:p>
      <w:pPr>
        <w:jc w:val="both"/>
        <w:ind w:left="8"/>
        <w:spacing w:after="0" w:line="249" w:lineRule="auto"/>
        <w:rPr>
          <w:sz w:val="20"/>
          <w:szCs w:val="20"/>
          <w:color w:val="auto"/>
        </w:rPr>
      </w:pPr>
      <w:r>
        <w:rPr>
          <w:rFonts w:ascii="Arial" w:cs="Arial" w:eastAsia="Arial" w:hAnsi="Arial"/>
          <w:sz w:val="21"/>
          <w:szCs w:val="21"/>
          <w:color w:val="auto"/>
        </w:rPr>
        <w:t>2.3 Upon termination of my engagement with the Company or at any other time upon request, I will promptly deliver to the Company all copies of computer programs, specifications, drawings, blueprints, data storage devices, notes, memoranda, notebooks, drawings, records, reports, files and other documents (and all copies or reproductions of such materials) in my possession or under my control, whether prepared by me or others, in whatever form on whatever medium, which contain Proprietary Information. I acknowledge that this material is the sole property of the Company.</w:t>
      </w:r>
    </w:p>
    <w:p>
      <w:pPr>
        <w:spacing w:after="0" w:line="219"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2.4 If requested to do so by the Company, I agree to sign a Termination Certificate in which I confirm that I have complied with the requirements of the preceding paragraph and that I am aware that certain restrictions imposed upon me by this Agreement continue after termination of my engagement. I understand, however, that my rights and obligations under this Agreement will continue even if I do not sign a Termination Certificate.</w:t>
      </w:r>
    </w:p>
    <w:p>
      <w:pPr>
        <w:spacing w:after="0" w:line="206" w:lineRule="exact"/>
        <w:rPr>
          <w:sz w:val="20"/>
          <w:szCs w:val="20"/>
          <w:color w:val="auto"/>
        </w:rPr>
      </w:pPr>
    </w:p>
    <w:p>
      <w:pPr>
        <w:ind w:left="748" w:hanging="748"/>
        <w:spacing w:after="0"/>
        <w:tabs>
          <w:tab w:leader="none" w:pos="748"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Absence of Restrictions Upon Disclosure and Competition</w:t>
      </w:r>
      <w:r>
        <w:rPr>
          <w:rFonts w:ascii="Arial" w:cs="Arial" w:eastAsia="Arial" w:hAnsi="Arial"/>
          <w:sz w:val="22"/>
          <w:szCs w:val="22"/>
          <w:b w:val="1"/>
          <w:bCs w:val="1"/>
          <w:color w:val="auto"/>
        </w:rPr>
        <w:t>.</w:t>
      </w:r>
    </w:p>
    <w:p>
      <w:pPr>
        <w:spacing w:after="0" w:line="247" w:lineRule="exact"/>
        <w:rPr>
          <w:sz w:val="20"/>
          <w:szCs w:val="20"/>
          <w:color w:val="auto"/>
        </w:rPr>
      </w:pPr>
    </w:p>
    <w:p>
      <w:pPr>
        <w:jc w:val="both"/>
        <w:ind w:left="8"/>
        <w:spacing w:after="0" w:line="289" w:lineRule="auto"/>
        <w:rPr>
          <w:sz w:val="20"/>
          <w:szCs w:val="20"/>
          <w:color w:val="auto"/>
        </w:rPr>
      </w:pPr>
      <w:r>
        <w:rPr>
          <w:rFonts w:ascii="Arial" w:cs="Arial" w:eastAsia="Arial" w:hAnsi="Arial"/>
          <w:sz w:val="19"/>
          <w:szCs w:val="19"/>
          <w:color w:val="auto"/>
        </w:rPr>
        <w:t xml:space="preserve">3.1 I hereby represent that, except as I have disclosed in writing to the Company, and included in </w:t>
      </w:r>
      <w:r>
        <w:rPr>
          <w:rFonts w:ascii="Arial" w:cs="Arial" w:eastAsia="Arial" w:hAnsi="Arial"/>
          <w:sz w:val="19"/>
          <w:szCs w:val="19"/>
          <w:b w:val="1"/>
          <w:bCs w:val="1"/>
          <w:u w:val="single" w:color="auto"/>
          <w:color w:val="auto"/>
        </w:rPr>
        <w:t>Schedule A</w:t>
      </w:r>
      <w:r>
        <w:rPr>
          <w:rFonts w:ascii="Arial" w:cs="Arial" w:eastAsia="Arial" w:hAnsi="Arial"/>
          <w:sz w:val="19"/>
          <w:szCs w:val="19"/>
          <w:color w:val="auto"/>
        </w:rPr>
        <w:t xml:space="preserve"> to this Agreement, I am not bound by the terms of any agreement with any previous employer or other party to refrain from using or disclosing any trade secret or confidential or proprietary information in the course of my engagement with the Company or to refrain from competing, directly or indirectly, with the business of such previous employer or any other party.</w:t>
      </w:r>
    </w:p>
    <w:p>
      <w:pPr>
        <w:spacing w:after="0" w:line="182"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9"/>
          <w:szCs w:val="19"/>
          <w:color w:val="auto"/>
        </w:rPr>
        <w:t>3.2 I further represent that my performance of all the terms of this Agreement and my engagement with of the Company does not and will not breach any agreement to keep in confidence proprietary information, knowledge or data acquired by me in confidence or in trust prior to my engagement with the Company, and I will not disclose to the Company or induce the Company to use any confidential information or material belonging to any previous employer or others.</w:t>
      </w:r>
    </w:p>
    <w:p>
      <w:pPr>
        <w:spacing w:after="0" w:line="164" w:lineRule="exact"/>
        <w:rPr>
          <w:sz w:val="20"/>
          <w:szCs w:val="20"/>
          <w:color w:val="auto"/>
        </w:rPr>
      </w:pPr>
    </w:p>
    <w:p>
      <w:pPr>
        <w:ind w:left="748" w:hanging="748"/>
        <w:spacing w:after="0"/>
        <w:tabs>
          <w:tab w:leader="none" w:pos="748"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Non-Compete/Non-Solicitation</w:t>
      </w:r>
      <w:r>
        <w:rPr>
          <w:rFonts w:ascii="Arial" w:cs="Arial" w:eastAsia="Arial" w:hAnsi="Arial"/>
          <w:sz w:val="22"/>
          <w:szCs w:val="22"/>
          <w:b w:val="1"/>
          <w:bCs w:val="1"/>
          <w:color w:val="auto"/>
        </w:rPr>
        <w:t>.</w:t>
      </w:r>
    </w:p>
    <w:p>
      <w:pPr>
        <w:spacing w:after="0" w:line="253"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4.1 For so long as I am engaged with the Company and for a period of 12 full months thereafter, I will not, without the express written consent of the Company, directly or indirectly, engage in, participate in, or assist, as owner, part-owner, partner, director, officer, trustee, employee, agent or consultant, or in any other capacity, any business organization or person, do business that is related to internet based behavioral health platforms.</w:t>
      </w:r>
    </w:p>
    <w:p>
      <w:pPr>
        <w:spacing w:after="0" w:line="225"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9"/>
          <w:szCs w:val="19"/>
          <w:color w:val="auto"/>
        </w:rPr>
        <w:t>4.2 I recognize that these restrictions on competition are reasonable because of the Company’s investment in good will and in its customer lists and other proprietary information and my knowledge of the Company’s business and business plans. However if any period of time or geographical area should be judged unreasonable in any judicial proceeding, then the period of time or geographical area shall be reduced to such extent as may be deemed required so as to be reasonable and enforceable.</w:t>
      </w:r>
    </w:p>
    <w:p>
      <w:pPr>
        <w:spacing w:after="0" w:line="8"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62865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32" w:top="321" w:right="459" w:bottom="1440" w:gutter="0" w:footer="0" w:header="0"/>
        </w:sectPr>
      </w:pPr>
    </w:p>
    <w:bookmarkStart w:id="162" w:name="page163"/>
    <w:bookmarkEnd w:id="162"/>
    <w:p>
      <w:pPr>
        <w:jc w:val="both"/>
        <w:ind w:left="8" w:right="20"/>
        <w:spacing w:after="0" w:line="250" w:lineRule="auto"/>
        <w:rPr>
          <w:sz w:val="20"/>
          <w:szCs w:val="20"/>
          <w:color w:val="auto"/>
        </w:rPr>
      </w:pPr>
      <w:r>
        <w:rPr>
          <w:rFonts w:ascii="Arial" w:cs="Arial" w:eastAsia="Arial" w:hAnsi="Arial"/>
          <w:sz w:val="22"/>
          <w:szCs w:val="22"/>
          <w:color w:val="auto"/>
        </w:rPr>
        <w:t>4.3 During my engagement with the Company and for 12 full months thereafter, I will notify the Company in the event I take up a position of any sort with any company or person whose</w:t>
      </w:r>
    </w:p>
    <w:p>
      <w:pPr>
        <w:spacing w:after="0" w:line="229" w:lineRule="exact"/>
        <w:rPr>
          <w:sz w:val="20"/>
          <w:szCs w:val="20"/>
          <w:color w:val="auto"/>
        </w:rPr>
      </w:pPr>
    </w:p>
    <w:p>
      <w:pPr>
        <w:ind w:left="8"/>
        <w:spacing w:after="0"/>
        <w:rPr>
          <w:sz w:val="20"/>
          <w:szCs w:val="20"/>
          <w:color w:val="auto"/>
        </w:rPr>
      </w:pPr>
      <w:r>
        <w:rPr>
          <w:rFonts w:ascii="Arial" w:cs="Arial" w:eastAsia="Arial" w:hAnsi="Arial"/>
          <w:sz w:val="22"/>
          <w:szCs w:val="22"/>
          <w:color w:val="auto"/>
        </w:rPr>
        <w:t>activities or products are directly or indirectly competitive with activities or products of the Company.</w:t>
      </w:r>
    </w:p>
    <w:p>
      <w:pPr>
        <w:spacing w:after="0" w:line="233"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4.4 I shall not recruit or otherwise solicit or induce any employees of the Company, to terminate their engagement with, or otherwise cease their relationships with, the Company or any of its subsidiaries during my engagement with the Company and for a period of 12 full months thereafter. In addition, I shall not recruit or otherwise solicit any person who was an employee of the Company during any time within six (6) months prior to the end of my engagement with the Company.</w:t>
      </w:r>
    </w:p>
    <w:p>
      <w:pPr>
        <w:spacing w:after="0" w:line="177" w:lineRule="exact"/>
        <w:rPr>
          <w:sz w:val="20"/>
          <w:szCs w:val="20"/>
          <w:color w:val="auto"/>
        </w:rPr>
      </w:pPr>
    </w:p>
    <w:p>
      <w:pPr>
        <w:ind w:left="748" w:hanging="748"/>
        <w:spacing w:after="0"/>
        <w:tabs>
          <w:tab w:leader="none" w:pos="748"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Obligations</w:t>
      </w:r>
      <w:r>
        <w:rPr>
          <w:rFonts w:ascii="Arial" w:cs="Arial" w:eastAsia="Arial" w:hAnsi="Arial"/>
          <w:sz w:val="22"/>
          <w:szCs w:val="22"/>
          <w:b w:val="1"/>
          <w:bCs w:val="1"/>
          <w:color w:val="auto"/>
        </w:rPr>
        <w:t>.</w:t>
      </w:r>
    </w:p>
    <w:p>
      <w:pPr>
        <w:spacing w:after="0" w:line="253"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5.1 I acknowledge that the Company from time to time may have agreements with others which impose obligations or restrictions on the Company regarding inventions made during the course of work under such agreements or regarding the confidential nature of such work. I agree to be bound by all such obligations and restrictions which are made known to me and to take all action necessary to discharge the obligations of the Company under such agreements.</w:t>
      </w:r>
    </w:p>
    <w:p>
      <w:pPr>
        <w:spacing w:after="0" w:line="3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5.2 Talkspace contracts with Therapist Consultants to provide certain services and acts, in this respect, as a “Business Associate/ Covered Entity.” As an Employee, you may incidentally or inadvertently encounter, view or access certain Confidential Information maintained by Talkspace which may qualify as Protected Health Information (“</w:t>
      </w:r>
      <w:r>
        <w:rPr>
          <w:rFonts w:ascii="Arial" w:cs="Arial" w:eastAsia="Arial" w:hAnsi="Arial"/>
          <w:sz w:val="19"/>
          <w:szCs w:val="19"/>
          <w:b w:val="1"/>
          <w:bCs w:val="1"/>
          <w:color w:val="auto"/>
        </w:rPr>
        <w:t>PHI</w:t>
      </w:r>
      <w:r>
        <w:rPr>
          <w:rFonts w:ascii="Arial" w:cs="Arial" w:eastAsia="Arial" w:hAnsi="Arial"/>
          <w:sz w:val="19"/>
          <w:szCs w:val="19"/>
          <w:color w:val="auto"/>
        </w:rPr>
        <w:t>”) or electronic PHI within the meaning of the Health Insurance Portability and Accountability Act of 1996, as amended, and the privacy and security standards promulgated pursuant thereto (“</w:t>
      </w:r>
      <w:r>
        <w:rPr>
          <w:rFonts w:ascii="Arial" w:cs="Arial" w:eastAsia="Arial" w:hAnsi="Arial"/>
          <w:sz w:val="19"/>
          <w:szCs w:val="19"/>
          <w:b w:val="1"/>
          <w:bCs w:val="1"/>
          <w:color w:val="auto"/>
        </w:rPr>
        <w:t>HIPAA</w:t>
      </w:r>
      <w:r>
        <w:rPr>
          <w:rFonts w:ascii="Arial" w:cs="Arial" w:eastAsia="Arial" w:hAnsi="Arial"/>
          <w:sz w:val="19"/>
          <w:szCs w:val="19"/>
          <w:color w:val="auto"/>
        </w:rPr>
        <w:t>”). In this case, the definition of “Confidential Information” means any and all non-public, medical, financial and personal information in whatever form (written, oral, visual or electronic) possessed or obtained by either party. Confidential Information shall include all information which (i) either party has labeled in writing as confidential, (ii) is identified at the time of disclosure as confidential, (iii) is commonly regarded as confidential in the health care industry, or (iv) is PHI as defined by HIPAA. You agree that while working with Talkspace to maintain the confidentiality of any PHI that you may incidentally or inadvertent encounter, view or have access as part of your employment. You also agree not to further use or disclose any PHI that you incidentally or inadvertently view or obtains access to and further agree to implement appropriate safeguards to prevent any further use or disclosure of any PHI that you incidentally or inadvertently access. You agree to comply with all applicable laws and regulations, including HIPAA and the HITECH Act, to the extent applicable in your employment, to fulfill your obligations under this Agreement.</w:t>
      </w:r>
    </w:p>
    <w:p>
      <w:pPr>
        <w:spacing w:after="0" w:line="293" w:lineRule="exact"/>
        <w:rPr>
          <w:sz w:val="20"/>
          <w:szCs w:val="20"/>
          <w:color w:val="auto"/>
        </w:rPr>
      </w:pPr>
    </w:p>
    <w:p>
      <w:pPr>
        <w:ind w:left="748" w:hanging="748"/>
        <w:spacing w:after="0"/>
        <w:tabs>
          <w:tab w:leader="none" w:pos="748"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53" w:lineRule="exact"/>
        <w:rPr>
          <w:sz w:val="20"/>
          <w:szCs w:val="20"/>
          <w:color w:val="auto"/>
        </w:rPr>
      </w:pPr>
    </w:p>
    <w:p>
      <w:pPr>
        <w:ind w:left="8" w:right="20"/>
        <w:spacing w:after="0" w:line="250" w:lineRule="auto"/>
        <w:rPr>
          <w:sz w:val="20"/>
          <w:szCs w:val="20"/>
          <w:color w:val="auto"/>
        </w:rPr>
      </w:pPr>
      <w:r>
        <w:rPr>
          <w:rFonts w:ascii="Arial" w:cs="Arial" w:eastAsia="Arial" w:hAnsi="Arial"/>
          <w:sz w:val="22"/>
          <w:szCs w:val="22"/>
          <w:color w:val="auto"/>
        </w:rPr>
        <w:t>6.1 The partial or complete invalidity or unenforceability of any provision of this Agreement shall not affect the validity or enforceability of any other provision of this Agreement.</w:t>
      </w:r>
    </w:p>
    <w:p>
      <w:pPr>
        <w:spacing w:after="0" w:line="256"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62865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32" w:top="577" w:right="459" w:bottom="1440" w:gutter="0" w:footer="0" w:header="0"/>
        </w:sectPr>
      </w:pPr>
    </w:p>
    <w:bookmarkStart w:id="163" w:name="page164"/>
    <w:bookmarkEnd w:id="163"/>
    <w:p>
      <w:pPr>
        <w:jc w:val="both"/>
        <w:ind w:right="20"/>
        <w:spacing w:after="0" w:line="297" w:lineRule="auto"/>
        <w:rPr>
          <w:sz w:val="20"/>
          <w:szCs w:val="20"/>
          <w:color w:val="auto"/>
        </w:rPr>
      </w:pPr>
      <w:r>
        <w:rPr>
          <w:rFonts w:ascii="Arial" w:cs="Arial" w:eastAsia="Arial" w:hAnsi="Arial"/>
          <w:sz w:val="19"/>
          <w:szCs w:val="19"/>
          <w:color w:val="auto"/>
        </w:rPr>
        <w:t>6.2 This Agreement supersedes all prior agreements, written or oral, between me and the Company relating to the subject matter of this Agreement. This Agreement may not be modified, changed or discharged in whole or in part, except by an agreement in writing signed by me and the Company. This Agreement does not constitute an engagement agreement, and no</w:t>
      </w:r>
    </w:p>
    <w:p>
      <w:pPr>
        <w:spacing w:after="0" w:line="188"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changes in my compensation, title or duties or any other terms or conditions of my engagement, including, without limitation, the termination of my engagement, shall affect the provisions of this Agreement except as stated herein.</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6.3 As used herein, the term “Company” shall include </w:t>
      </w:r>
      <w:r>
        <w:rPr>
          <w:rFonts w:ascii="Arial" w:cs="Arial" w:eastAsia="Arial" w:hAnsi="Arial"/>
          <w:sz w:val="22"/>
          <w:szCs w:val="22"/>
          <w:b w:val="1"/>
          <w:bCs w:val="1"/>
          <w:color w:val="auto"/>
        </w:rPr>
        <w:t>Talkspace Inc., Talkspace, Talkspace Network LLC,</w:t>
      </w:r>
      <w:r>
        <w:rPr>
          <w:rFonts w:ascii="Arial" w:cs="Arial" w:eastAsia="Arial" w:hAnsi="Arial"/>
          <w:sz w:val="22"/>
          <w:szCs w:val="22"/>
          <w:color w:val="auto"/>
        </w:rPr>
        <w:t xml:space="preserve"> and any of its predecessors, subsidiaries, subdivisions or affiliates. The Company shall have the right to assign this Agreement to its successors and assigns and all covenants and agreements hereunder shall inure to the benefit of and be enforceable by said successors or assigns. I agree not to assign any of my obligations under this Agreement. This Agreement will be binding upon my heirs, executors and administrators.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6.4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21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6.5 I expressly consent to be bound by the provisions of this Agreement for the benefit of the Company or any subsidiary or affiliate thereof to whom my engagement may be transferred without the necessity that this Agreement be re-signed at the time of such transfer.</w:t>
      </w:r>
    </w:p>
    <w:p>
      <w:pPr>
        <w:spacing w:after="0" w:line="21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6.6 This Agreement shall be deemed to be a sealed instrument and shall be governed by and construed in accordance with the laws of the State of Delaware. I hereby expressly consent to the jurisdiction of the courts of the state where the Company has its principal place of business in the United States (currently New York) to adjudicate any dispute arising under this Agreement.</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6.7 I recognize that irreparable damages would be caused to the Company, and that monetary damages would not compensate the Company for its loss, should I breach the terms of this Agreement. Accordingly, in addition to all other remedies available to the Company at law or in equity, upon a showing by the Company that I have violated or am about to violate the terms of this Agreement, I hereby consent to the entry by a court of competent jurisdiction of an injunction or declaratory judgment enforcing the terms of this Agreement, including without limitation preventing disclosure or further disclosure by me of Proprietary Information.</w:t>
      </w:r>
    </w:p>
    <w:p>
      <w:pPr>
        <w:spacing w:after="0" w:line="228" w:lineRule="exact"/>
        <w:rPr>
          <w:sz w:val="20"/>
          <w:szCs w:val="20"/>
          <w:color w:val="auto"/>
        </w:rPr>
      </w:pPr>
    </w:p>
    <w:p>
      <w:pPr>
        <w:jc w:val="both"/>
        <w:spacing w:after="0"/>
        <w:rPr>
          <w:sz w:val="20"/>
          <w:szCs w:val="20"/>
          <w:color w:val="auto"/>
        </w:rPr>
      </w:pPr>
      <w:r>
        <w:rPr>
          <w:rFonts w:ascii="Arial" w:cs="Arial" w:eastAsia="Arial" w:hAnsi="Arial"/>
          <w:sz w:val="22"/>
          <w:szCs w:val="22"/>
          <w:color w:val="auto"/>
        </w:rPr>
        <w:t>6.8 If any one or more provisions of this Agreement shall for any reason be held to be excessively broad as to time, duration, geographical scope, activity or subject, it shall be construed, by limiting and reducing it, so as to be enforceable to the extent compatible with the applicable law as it shall then appear.</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21" w:right="459" w:bottom="1440" w:gutter="0" w:footer="0" w:header="0"/>
        </w:sectPr>
      </w:pPr>
    </w:p>
    <w:bookmarkStart w:id="164" w:name="page165"/>
    <w:bookmarkEnd w:id="164"/>
    <w:p>
      <w:pPr>
        <w:ind w:left="120" w:right="140"/>
        <w:spacing w:after="0" w:line="250" w:lineRule="auto"/>
        <w:rPr>
          <w:sz w:val="20"/>
          <w:szCs w:val="20"/>
          <w:color w:val="auto"/>
        </w:rPr>
      </w:pPr>
      <w:r>
        <w:rPr>
          <w:rFonts w:ascii="Arial" w:cs="Arial" w:eastAsia="Arial" w:hAnsi="Arial"/>
          <w:sz w:val="22"/>
          <w:szCs w:val="22"/>
          <w:color w:val="auto"/>
        </w:rPr>
        <w:t>I HAVE READ ALL OF THE PROVISIONS OF THIS AGREEMENT AND I UNDERSTAND, AND AGREE TO, EACH OF SUCH PROVISIONS, EFFECTIVE AS OF THE DATE FIRST ENTERED ABOVE.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00" w:type="dxa"/>
            <w:vAlign w:val="bottom"/>
          </w:tcPr>
          <w:p>
            <w:pPr>
              <w:ind w:left="120"/>
              <w:spacing w:after="0"/>
              <w:rPr>
                <w:sz w:val="20"/>
                <w:szCs w:val="20"/>
                <w:color w:val="auto"/>
              </w:rPr>
            </w:pPr>
            <w:r>
              <w:rPr>
                <w:rFonts w:ascii="Arial" w:cs="Arial" w:eastAsia="Arial" w:hAnsi="Arial"/>
                <w:sz w:val="22"/>
                <w:szCs w:val="22"/>
                <w:color w:val="auto"/>
              </w:rPr>
              <w:t>Accepted and Agreed:</w:t>
            </w:r>
          </w:p>
        </w:tc>
        <w:tc>
          <w:tcPr>
            <w:tcW w:w="6840" w:type="dxa"/>
            <w:vAlign w:val="bottom"/>
          </w:tcPr>
          <w:p>
            <w:pPr>
              <w:spacing w:after="0"/>
              <w:rPr>
                <w:sz w:val="23"/>
                <w:szCs w:val="23"/>
                <w:color w:val="auto"/>
              </w:rPr>
            </w:pPr>
          </w:p>
        </w:tc>
      </w:tr>
      <w:tr>
        <w:trPr>
          <w:trHeight w:val="486"/>
        </w:trPr>
        <w:tc>
          <w:tcPr>
            <w:tcW w:w="4400" w:type="dxa"/>
            <w:vAlign w:val="bottom"/>
          </w:tcPr>
          <w:p>
            <w:pPr>
              <w:ind w:left="20"/>
              <w:spacing w:after="0"/>
              <w:rPr>
                <w:sz w:val="20"/>
                <w:szCs w:val="20"/>
                <w:color w:val="auto"/>
              </w:rPr>
            </w:pPr>
            <w:r>
              <w:rPr>
                <w:rFonts w:ascii="Arial" w:cs="Arial" w:eastAsia="Arial" w:hAnsi="Arial"/>
                <w:sz w:val="22"/>
                <w:szCs w:val="22"/>
                <w:b w:val="1"/>
                <w:bCs w:val="1"/>
                <w:color w:val="auto"/>
              </w:rPr>
              <w:t>Talkspace Inc.</w:t>
            </w:r>
          </w:p>
        </w:tc>
        <w:tc>
          <w:tcPr>
            <w:tcW w:w="6840" w:type="dxa"/>
            <w:vAlign w:val="bottom"/>
          </w:tcPr>
          <w:p>
            <w:pPr>
              <w:ind w:left="2380"/>
              <w:spacing w:after="0"/>
              <w:rPr>
                <w:sz w:val="20"/>
                <w:szCs w:val="20"/>
                <w:color w:val="auto"/>
              </w:rPr>
            </w:pPr>
            <w:r>
              <w:rPr>
                <w:rFonts w:ascii="Arial" w:cs="Arial" w:eastAsia="Arial" w:hAnsi="Arial"/>
                <w:sz w:val="22"/>
                <w:szCs w:val="22"/>
                <w:b w:val="1"/>
                <w:bCs w:val="1"/>
                <w:color w:val="auto"/>
              </w:rPr>
              <w:t>John Reilly</w:t>
            </w:r>
          </w:p>
        </w:tc>
      </w:tr>
      <w:tr>
        <w:trPr>
          <w:trHeight w:val="414"/>
        </w:trPr>
        <w:tc>
          <w:tcPr>
            <w:tcW w:w="4400" w:type="dxa"/>
            <w:vAlign w:val="bottom"/>
          </w:tcPr>
          <w:p>
            <w:pPr>
              <w:ind w:left="20"/>
              <w:spacing w:after="0"/>
              <w:rPr>
                <w:sz w:val="20"/>
                <w:szCs w:val="20"/>
                <w:color w:val="auto"/>
              </w:rPr>
            </w:pPr>
            <w:r>
              <w:rPr>
                <w:rFonts w:ascii="Arial" w:cs="Arial" w:eastAsia="Arial" w:hAnsi="Arial"/>
                <w:sz w:val="22"/>
                <w:szCs w:val="22"/>
                <w:color w:val="auto"/>
              </w:rPr>
              <w:t>/s/ Oren Frank</w:t>
            </w:r>
          </w:p>
        </w:tc>
        <w:tc>
          <w:tcPr>
            <w:tcW w:w="6840" w:type="dxa"/>
            <w:vAlign w:val="bottom"/>
          </w:tcPr>
          <w:p>
            <w:pPr>
              <w:ind w:left="2380"/>
              <w:spacing w:after="0"/>
              <w:rPr>
                <w:sz w:val="20"/>
                <w:szCs w:val="20"/>
                <w:color w:val="auto"/>
              </w:rPr>
            </w:pPr>
            <w:r>
              <w:rPr>
                <w:rFonts w:ascii="Arial" w:cs="Arial" w:eastAsia="Arial" w:hAnsi="Arial"/>
                <w:sz w:val="22"/>
                <w:szCs w:val="22"/>
                <w:color w:val="auto"/>
              </w:rPr>
              <w:t>/s/ John Reilly</w:t>
            </w:r>
          </w:p>
        </w:tc>
      </w:tr>
      <w:tr>
        <w:trPr>
          <w:trHeight w:val="230"/>
        </w:trPr>
        <w:tc>
          <w:tcPr>
            <w:tcW w:w="4400" w:type="dxa"/>
            <w:vAlign w:val="bottom"/>
          </w:tcPr>
          <w:p>
            <w:pPr>
              <w:ind w:left="20"/>
              <w:spacing w:after="0" w:line="229" w:lineRule="exact"/>
              <w:rPr>
                <w:sz w:val="20"/>
                <w:szCs w:val="20"/>
                <w:color w:val="auto"/>
              </w:rPr>
            </w:pPr>
            <w:r>
              <w:rPr>
                <w:rFonts w:ascii="Arial" w:cs="Arial" w:eastAsia="Arial" w:hAnsi="Arial"/>
                <w:sz w:val="22"/>
                <w:szCs w:val="22"/>
                <w:color w:val="auto"/>
              </w:rPr>
              <w:t>Oren Frank</w:t>
            </w:r>
          </w:p>
        </w:tc>
        <w:tc>
          <w:tcPr>
            <w:tcW w:w="6840" w:type="dxa"/>
            <w:vAlign w:val="bottom"/>
          </w:tcPr>
          <w:p>
            <w:pPr>
              <w:spacing w:after="0"/>
              <w:rPr>
                <w:sz w:val="19"/>
                <w:szCs w:val="19"/>
                <w:color w:val="auto"/>
              </w:rPr>
            </w:pPr>
          </w:p>
        </w:tc>
      </w:tr>
      <w:tr>
        <w:trPr>
          <w:trHeight w:val="229"/>
        </w:trPr>
        <w:tc>
          <w:tcPr>
            <w:tcW w:w="4400" w:type="dxa"/>
            <w:vAlign w:val="bottom"/>
          </w:tcPr>
          <w:p>
            <w:pPr>
              <w:ind w:left="20"/>
              <w:spacing w:after="0" w:line="229" w:lineRule="exact"/>
              <w:rPr>
                <w:sz w:val="20"/>
                <w:szCs w:val="20"/>
                <w:color w:val="auto"/>
              </w:rPr>
            </w:pPr>
            <w:r>
              <w:rPr>
                <w:rFonts w:ascii="Arial" w:cs="Arial" w:eastAsia="Arial" w:hAnsi="Arial"/>
                <w:sz w:val="22"/>
                <w:szCs w:val="22"/>
                <w:color w:val="auto"/>
              </w:rPr>
              <w:t>CEO</w:t>
            </w:r>
          </w:p>
        </w:tc>
        <w:tc>
          <w:tcPr>
            <w:tcW w:w="6840" w:type="dxa"/>
            <w:vAlign w:val="bottom"/>
          </w:tcPr>
          <w:p>
            <w:pPr>
              <w:spacing w:after="0"/>
              <w:rPr>
                <w:sz w:val="19"/>
                <w:szCs w:val="19"/>
                <w:color w:val="auto"/>
              </w:rPr>
            </w:pPr>
          </w:p>
        </w:tc>
      </w:tr>
      <w:tr>
        <w:trPr>
          <w:trHeight w:val="274"/>
        </w:trPr>
        <w:tc>
          <w:tcPr>
            <w:tcW w:w="4400" w:type="dxa"/>
            <w:vAlign w:val="bottom"/>
          </w:tcPr>
          <w:p>
            <w:pPr>
              <w:ind w:left="20"/>
              <w:spacing w:after="0"/>
              <w:rPr>
                <w:sz w:val="20"/>
                <w:szCs w:val="20"/>
                <w:color w:val="auto"/>
              </w:rPr>
            </w:pPr>
            <w:r>
              <w:rPr>
                <w:rFonts w:ascii="Arial" w:cs="Arial" w:eastAsia="Arial" w:hAnsi="Arial"/>
                <w:sz w:val="22"/>
                <w:szCs w:val="22"/>
                <w:color w:val="auto"/>
              </w:rPr>
              <w:t>Date: 6/22/21</w:t>
            </w:r>
          </w:p>
        </w:tc>
        <w:tc>
          <w:tcPr>
            <w:tcW w:w="6840" w:type="dxa"/>
            <w:vAlign w:val="bottom"/>
          </w:tcPr>
          <w:p>
            <w:pPr>
              <w:ind w:left="2380"/>
              <w:spacing w:after="0"/>
              <w:rPr>
                <w:sz w:val="20"/>
                <w:szCs w:val="20"/>
                <w:color w:val="auto"/>
              </w:rPr>
            </w:pPr>
            <w:r>
              <w:rPr>
                <w:rFonts w:ascii="Arial" w:cs="Arial" w:eastAsia="Arial" w:hAnsi="Arial"/>
                <w:sz w:val="22"/>
                <w:szCs w:val="22"/>
                <w:color w:val="auto"/>
              </w:rPr>
              <w:t>Date: 6/22/21</w:t>
            </w:r>
          </w:p>
        </w:tc>
      </w:tr>
      <w:tr>
        <w:trPr>
          <w:trHeight w:val="685"/>
        </w:trPr>
        <w:tc>
          <w:tcPr>
            <w:tcW w:w="440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21"/>
          <w:szCs w:val="21"/>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74295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165100</wp:posOffset>
            </wp:positionV>
            <wp:extent cx="4937760" cy="4114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9">
                      <a:extLst>
                        <a:ext uri="{28A0092B-C50C-407E-A947-70E740481C1C}"/>
                      </a:extLst>
                    </a:blip>
                    <a:srcRect/>
                    <a:stretch>
                      <a:fillRect/>
                    </a:stretch>
                  </pic:blipFill>
                  <pic:spPr bwMode="auto">
                    <a:xfrm>
                      <a:off x="0" y="0"/>
                      <a:ext cx="49377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Personal and Confidential</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December 6, 2021</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Dear Gil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Margolin:</w:t>
      </w:r>
    </w:p>
    <w:p>
      <w:pPr>
        <w:spacing w:after="0" w:line="79" w:lineRule="exact"/>
        <w:rPr>
          <w:sz w:val="20"/>
          <w:szCs w:val="20"/>
          <w:color w:val="auto"/>
        </w:rPr>
      </w:pPr>
    </w:p>
    <w:p>
      <w:pPr>
        <w:ind w:left="740"/>
        <w:spacing w:after="0"/>
        <w:rPr>
          <w:sz w:val="20"/>
          <w:szCs w:val="20"/>
          <w:color w:val="auto"/>
        </w:rPr>
      </w:pPr>
      <w:r>
        <w:rPr>
          <w:rFonts w:ascii="Arial" w:cs="Arial" w:eastAsia="Arial" w:hAnsi="Arial"/>
          <w:sz w:val="22"/>
          <w:szCs w:val="22"/>
          <w:color w:val="auto"/>
        </w:rPr>
        <w:t>As you know, Talkspace, Inc. (the “</w:t>
      </w:r>
      <w:r>
        <w:rPr>
          <w:rFonts w:ascii="Arial" w:cs="Arial" w:eastAsia="Arial" w:hAnsi="Arial"/>
          <w:sz w:val="22"/>
          <w:szCs w:val="22"/>
          <w:u w:val="single" w:color="auto"/>
          <w:color w:val="auto"/>
        </w:rPr>
        <w:t>Company</w:t>
      </w:r>
      <w:r>
        <w:rPr>
          <w:rFonts w:ascii="Arial" w:cs="Arial" w:eastAsia="Arial" w:hAnsi="Arial"/>
          <w:sz w:val="22"/>
          <w:szCs w:val="22"/>
          <w:color w:val="auto"/>
        </w:rPr>
        <w:t>”) recently announced changes to its</w:t>
      </w:r>
    </w:p>
    <w:p>
      <w:pPr>
        <w:jc w:val="both"/>
        <w:ind w:right="860"/>
        <w:spacing w:after="0" w:line="246" w:lineRule="auto"/>
        <w:rPr>
          <w:sz w:val="20"/>
          <w:szCs w:val="20"/>
          <w:color w:val="auto"/>
        </w:rPr>
      </w:pPr>
      <w:r>
        <w:rPr>
          <w:rFonts w:ascii="Arial" w:cs="Arial" w:eastAsia="Arial" w:hAnsi="Arial"/>
          <w:sz w:val="21"/>
          <w:szCs w:val="21"/>
          <w:color w:val="auto"/>
        </w:rPr>
        <w:t>management team. You are a valued member of our team, and in order to ensure your continued dedication during this time of transition, you are being offered the opportunity to receive a cash payment in the amount of $400,000 (the “</w:t>
      </w:r>
      <w:r>
        <w:rPr>
          <w:rFonts w:ascii="Arial" w:cs="Arial" w:eastAsia="Arial" w:hAnsi="Arial"/>
          <w:sz w:val="21"/>
          <w:szCs w:val="21"/>
          <w:u w:val="single" w:color="auto"/>
          <w:color w:val="auto"/>
        </w:rPr>
        <w:t>Retention Bonus</w:t>
      </w:r>
      <w:r>
        <w:rPr>
          <w:rFonts w:ascii="Arial" w:cs="Arial" w:eastAsia="Arial" w:hAnsi="Arial"/>
          <w:sz w:val="21"/>
          <w:szCs w:val="21"/>
          <w:color w:val="auto"/>
        </w:rPr>
        <w:t>”), if you agree to the terms and conditions contained in this letter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which shall be effective upon your execution.</w:t>
      </w:r>
    </w:p>
    <w:p>
      <w:pPr>
        <w:spacing w:after="0" w:line="160" w:lineRule="exact"/>
        <w:rPr>
          <w:sz w:val="20"/>
          <w:szCs w:val="20"/>
          <w:color w:val="auto"/>
        </w:rPr>
      </w:pPr>
    </w:p>
    <w:p>
      <w:pPr>
        <w:jc w:val="both"/>
        <w:ind w:left="100" w:right="960" w:firstLine="746"/>
        <w:spacing w:after="0" w:line="258" w:lineRule="auto"/>
        <w:tabs>
          <w:tab w:leader="none" w:pos="1522" w:val="left"/>
        </w:tabs>
        <w:numPr>
          <w:ilvl w:val="0"/>
          <w:numId w:val="111"/>
        </w:numPr>
        <w:rPr>
          <w:rFonts w:ascii="Arial" w:cs="Arial" w:eastAsia="Arial" w:hAnsi="Arial"/>
          <w:sz w:val="20"/>
          <w:szCs w:val="20"/>
          <w:color w:val="auto"/>
        </w:rPr>
      </w:pPr>
      <w:r>
        <w:rPr>
          <w:rFonts w:ascii="Arial" w:cs="Arial" w:eastAsia="Arial" w:hAnsi="Arial"/>
          <w:sz w:val="20"/>
          <w:szCs w:val="20"/>
          <w:b w:val="1"/>
          <w:bCs w:val="1"/>
          <w:color w:val="auto"/>
        </w:rPr>
        <w:t xml:space="preserve">Retention Bonus Payment. </w:t>
      </w:r>
      <w:r>
        <w:rPr>
          <w:rFonts w:ascii="Arial" w:cs="Arial" w:eastAsia="Arial" w:hAnsi="Arial"/>
          <w:sz w:val="20"/>
          <w:szCs w:val="20"/>
          <w:color w:val="auto"/>
        </w:rPr>
        <w:t>Subject to the terms of this Agreement and your execution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the Company will pay you the Retention Bonus in two equal installments as follows: (i) 50% on the first Company payroll date following the last day of the 2</w:t>
      </w:r>
      <w:r>
        <w:rPr>
          <w:rFonts w:ascii="Arial" w:cs="Arial" w:eastAsia="Arial" w:hAnsi="Arial"/>
          <w:sz w:val="13"/>
          <w:szCs w:val="13"/>
          <w:color w:val="auto"/>
        </w:rPr>
        <w:t>nd</w:t>
      </w:r>
      <w:r>
        <w:rPr>
          <w:rFonts w:ascii="Arial" w:cs="Arial" w:eastAsia="Arial" w:hAnsi="Arial"/>
          <w:sz w:val="20"/>
          <w:szCs w:val="20"/>
          <w:color w:val="auto"/>
        </w:rPr>
        <w:t xml:space="preserve"> quarter of the fiscal year ending December 31, 2022, and (ii) 50% on the first Company payroll date following the last day of the 3</w:t>
      </w:r>
      <w:r>
        <w:rPr>
          <w:rFonts w:ascii="Arial" w:cs="Arial" w:eastAsia="Arial" w:hAnsi="Arial"/>
          <w:sz w:val="13"/>
          <w:szCs w:val="13"/>
          <w:color w:val="auto"/>
        </w:rPr>
        <w:t>rd</w:t>
      </w:r>
      <w:r>
        <w:rPr>
          <w:rFonts w:ascii="Arial" w:cs="Arial" w:eastAsia="Arial" w:hAnsi="Arial"/>
          <w:sz w:val="20"/>
          <w:szCs w:val="20"/>
          <w:color w:val="auto"/>
        </w:rPr>
        <w:t xml:space="preserve"> quarter of the fiscal year ending December 31, 2022 (each, an “</w:t>
      </w:r>
      <w:r>
        <w:rPr>
          <w:rFonts w:ascii="Arial" w:cs="Arial" w:eastAsia="Arial" w:hAnsi="Arial"/>
          <w:sz w:val="20"/>
          <w:szCs w:val="20"/>
          <w:u w:val="single" w:color="auto"/>
          <w:color w:val="auto"/>
        </w:rPr>
        <w:t>Installment Payment</w:t>
      </w:r>
      <w:r>
        <w:rPr>
          <w:rFonts w:ascii="Arial" w:cs="Arial" w:eastAsia="Arial" w:hAnsi="Arial"/>
          <w:sz w:val="20"/>
          <w:szCs w:val="20"/>
          <w:color w:val="auto"/>
        </w:rPr>
        <w:t>”). In order to receive any Installment Payment, you must be employed by the Company on the date such Installment Payment is paid. No Installment Payment shall be earned until actually paid to you. For the second Installment Payment paid at the end of 3</w:t>
      </w:r>
      <w:r>
        <w:rPr>
          <w:rFonts w:ascii="Arial" w:cs="Arial" w:eastAsia="Arial" w:hAnsi="Arial"/>
          <w:sz w:val="13"/>
          <w:szCs w:val="13"/>
          <w:color w:val="auto"/>
        </w:rPr>
        <w:t>rd</w:t>
      </w:r>
      <w:r>
        <w:rPr>
          <w:rFonts w:ascii="Arial" w:cs="Arial" w:eastAsia="Arial" w:hAnsi="Arial"/>
          <w:sz w:val="20"/>
          <w:szCs w:val="20"/>
          <w:color w:val="auto"/>
        </w:rPr>
        <w:t xml:space="preserve"> quarter, the payment will be contingent on your continuing employment with the Company up and until December 31, 2022. If you resign your position or are terminated “for cause” on or before December 31, 2022, the Company retains the sole option to seek repayment of the second Installment Payment in full.</w:t>
      </w:r>
    </w:p>
    <w:p>
      <w:pPr>
        <w:spacing w:after="0" w:line="196" w:lineRule="exact"/>
        <w:rPr>
          <w:rFonts w:ascii="Arial" w:cs="Arial" w:eastAsia="Arial" w:hAnsi="Arial"/>
          <w:sz w:val="20"/>
          <w:szCs w:val="20"/>
          <w:color w:val="auto"/>
        </w:rPr>
      </w:pPr>
    </w:p>
    <w:p>
      <w:pPr>
        <w:jc w:val="both"/>
        <w:ind w:left="100" w:right="980" w:firstLine="749"/>
        <w:spacing w:after="0" w:line="239" w:lineRule="auto"/>
        <w:tabs>
          <w:tab w:leader="none" w:pos="1527" w:val="left"/>
        </w:tabs>
        <w:numPr>
          <w:ilvl w:val="0"/>
          <w:numId w:val="111"/>
        </w:numPr>
        <w:rPr>
          <w:rFonts w:ascii="Arial" w:cs="Arial" w:eastAsia="Arial" w:hAnsi="Arial"/>
          <w:sz w:val="22"/>
          <w:szCs w:val="22"/>
          <w:color w:val="auto"/>
        </w:rPr>
      </w:pPr>
      <w:r>
        <w:rPr>
          <w:rFonts w:ascii="Arial" w:cs="Arial" w:eastAsia="Arial" w:hAnsi="Arial"/>
          <w:sz w:val="22"/>
          <w:szCs w:val="22"/>
          <w:b w:val="1"/>
          <w:bCs w:val="1"/>
          <w:color w:val="auto"/>
        </w:rPr>
        <w:t xml:space="preserve">Confidentiality of this Agreement. </w:t>
      </w:r>
      <w:r>
        <w:rPr>
          <w:rFonts w:ascii="Arial" w:cs="Arial" w:eastAsia="Arial" w:hAnsi="Arial"/>
          <w:sz w:val="22"/>
          <w:szCs w:val="22"/>
          <w:color w:val="auto"/>
        </w:rPr>
        <w:t>You must keep the terms and conditions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strictly confidential, except for disclosures to your immediate family and any tax, legal or other counsel that you have consulted regarding this Agreement, whom you will instruct not to disclose the same, and disclosures specifically authorized or required by law.</w:t>
      </w:r>
    </w:p>
    <w:p>
      <w:pPr>
        <w:spacing w:after="0" w:line="220" w:lineRule="exact"/>
        <w:rPr>
          <w:rFonts w:ascii="Arial" w:cs="Arial" w:eastAsia="Arial" w:hAnsi="Arial"/>
          <w:sz w:val="22"/>
          <w:szCs w:val="22"/>
          <w:color w:val="auto"/>
        </w:rPr>
      </w:pPr>
    </w:p>
    <w:p>
      <w:pPr>
        <w:jc w:val="both"/>
        <w:ind w:left="100" w:right="980" w:firstLine="750"/>
        <w:spacing w:after="0" w:line="243" w:lineRule="auto"/>
        <w:tabs>
          <w:tab w:leader="none" w:pos="1527" w:val="left"/>
        </w:tabs>
        <w:numPr>
          <w:ilvl w:val="0"/>
          <w:numId w:val="111"/>
        </w:numPr>
        <w:rPr>
          <w:rFonts w:ascii="Arial" w:cs="Arial" w:eastAsia="Arial" w:hAnsi="Arial"/>
          <w:sz w:val="22"/>
          <w:szCs w:val="22"/>
          <w:color w:val="auto"/>
        </w:rPr>
      </w:pPr>
      <w:r>
        <w:rPr>
          <w:rFonts w:ascii="Arial" w:cs="Arial" w:eastAsia="Arial" w:hAnsi="Arial"/>
          <w:sz w:val="22"/>
          <w:szCs w:val="22"/>
          <w:b w:val="1"/>
          <w:bCs w:val="1"/>
          <w:color w:val="auto"/>
        </w:rPr>
        <w:t xml:space="preserve">Withholding Taxes. </w:t>
      </w:r>
      <w:r>
        <w:rPr>
          <w:rFonts w:ascii="Arial" w:cs="Arial" w:eastAsia="Arial" w:hAnsi="Arial"/>
          <w:sz w:val="22"/>
          <w:szCs w:val="22"/>
          <w:color w:val="auto"/>
        </w:rPr>
        <w:t>The Company may withhold from each Installment Payment such</w:t>
      </w:r>
      <w:r>
        <w:rPr>
          <w:rFonts w:ascii="Arial" w:cs="Arial" w:eastAsia="Arial" w:hAnsi="Arial"/>
          <w:sz w:val="22"/>
          <w:szCs w:val="22"/>
          <w:b w:val="1"/>
          <w:bCs w:val="1"/>
          <w:color w:val="auto"/>
        </w:rPr>
        <w:t xml:space="preserve"> </w:t>
      </w:r>
      <w:r>
        <w:rPr>
          <w:rFonts w:ascii="Arial" w:cs="Arial" w:eastAsia="Arial" w:hAnsi="Arial"/>
          <w:sz w:val="22"/>
          <w:szCs w:val="22"/>
          <w:color w:val="auto"/>
        </w:rPr>
        <w:t>federal, state, and local taxes as the Company determines in its sole discretion may be required to be withheld pursuant to any applicable law or regulation.</w:t>
      </w:r>
    </w:p>
    <w:p>
      <w:pPr>
        <w:spacing w:after="0" w:line="203" w:lineRule="exact"/>
        <w:rPr>
          <w:rFonts w:ascii="Arial" w:cs="Arial" w:eastAsia="Arial" w:hAnsi="Arial"/>
          <w:sz w:val="22"/>
          <w:szCs w:val="22"/>
          <w:color w:val="auto"/>
        </w:rPr>
      </w:pPr>
    </w:p>
    <w:p>
      <w:pPr>
        <w:jc w:val="both"/>
        <w:ind w:left="100" w:right="980" w:firstLine="749"/>
        <w:spacing w:after="0" w:line="289" w:lineRule="auto"/>
        <w:tabs>
          <w:tab w:leader="none" w:pos="1527" w:val="left"/>
        </w:tabs>
        <w:numPr>
          <w:ilvl w:val="0"/>
          <w:numId w:val="111"/>
        </w:numPr>
        <w:rPr>
          <w:rFonts w:ascii="Arial" w:cs="Arial" w:eastAsia="Arial" w:hAnsi="Arial"/>
          <w:sz w:val="19"/>
          <w:szCs w:val="19"/>
          <w:color w:val="auto"/>
        </w:rPr>
      </w:pPr>
      <w:r>
        <w:rPr>
          <w:rFonts w:ascii="Arial" w:cs="Arial" w:eastAsia="Arial" w:hAnsi="Arial"/>
          <w:sz w:val="19"/>
          <w:szCs w:val="19"/>
          <w:b w:val="1"/>
          <w:bCs w:val="1"/>
          <w:color w:val="auto"/>
        </w:rPr>
        <w:t xml:space="preserve">No Right to Continued Employment. </w:t>
      </w:r>
      <w:r>
        <w:rPr>
          <w:rFonts w:ascii="Arial" w:cs="Arial" w:eastAsia="Arial" w:hAnsi="Arial"/>
          <w:sz w:val="19"/>
          <w:szCs w:val="19"/>
          <w:color w:val="auto"/>
        </w:rPr>
        <w:t>Nothing in this Agreement will confer upon you</w:t>
      </w:r>
      <w:r>
        <w:rPr>
          <w:rFonts w:ascii="Arial" w:cs="Arial" w:eastAsia="Arial" w:hAnsi="Arial"/>
          <w:sz w:val="19"/>
          <w:szCs w:val="19"/>
          <w:b w:val="1"/>
          <w:bCs w:val="1"/>
          <w:color w:val="auto"/>
        </w:rPr>
        <w:t xml:space="preserve"> </w:t>
      </w:r>
      <w:r>
        <w:rPr>
          <w:rFonts w:ascii="Arial" w:cs="Arial" w:eastAsia="Arial" w:hAnsi="Arial"/>
          <w:sz w:val="19"/>
          <w:szCs w:val="19"/>
          <w:color w:val="auto"/>
        </w:rPr>
        <w:t>any right to continued employment with the Company (or its affiliates or their respective successors) or to interfere in any way with the right of the Company (or its affiliates or their respective successors) to terminate your employment at any time, without notice, and for any or no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288290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15" w:right="339" w:bottom="1440" w:gutter="0" w:footer="0" w:header="0"/>
        </w:sectPr>
      </w:pPr>
    </w:p>
    <w:bookmarkStart w:id="167" w:name="page168"/>
    <w:bookmarkEnd w:id="167"/>
    <w:p>
      <w:pPr>
        <w:ind w:right="20" w:firstLine="750"/>
        <w:spacing w:after="0" w:line="280" w:lineRule="auto"/>
        <w:tabs>
          <w:tab w:leader="none" w:pos="1426" w:val="left"/>
        </w:tabs>
        <w:numPr>
          <w:ilvl w:val="0"/>
          <w:numId w:val="112"/>
        </w:numPr>
        <w:rPr>
          <w:rFonts w:ascii="Arial" w:cs="Arial" w:eastAsia="Arial" w:hAnsi="Arial"/>
          <w:sz w:val="21"/>
          <w:szCs w:val="21"/>
          <w:color w:val="auto"/>
        </w:rPr>
      </w:pPr>
      <w:r>
        <w:rPr>
          <w:rFonts w:ascii="Arial" w:cs="Arial" w:eastAsia="Arial" w:hAnsi="Arial"/>
          <w:sz w:val="21"/>
          <w:szCs w:val="21"/>
          <w:b w:val="1"/>
          <w:bCs w:val="1"/>
          <w:color w:val="auto"/>
        </w:rPr>
        <w:t xml:space="preserve">Other Benefits. </w:t>
      </w:r>
      <w:r>
        <w:rPr>
          <w:rFonts w:ascii="Arial" w:cs="Arial" w:eastAsia="Arial" w:hAnsi="Arial"/>
          <w:sz w:val="21"/>
          <w:szCs w:val="21"/>
          <w:color w:val="auto"/>
        </w:rPr>
        <w:t>The Retention Bonus is a special payment to you and will not be taken into</w:t>
      </w:r>
      <w:r>
        <w:rPr>
          <w:rFonts w:ascii="Arial" w:cs="Arial" w:eastAsia="Arial" w:hAnsi="Arial"/>
          <w:sz w:val="21"/>
          <w:szCs w:val="21"/>
          <w:b w:val="1"/>
          <w:bCs w:val="1"/>
          <w:color w:val="auto"/>
        </w:rPr>
        <w:t xml:space="preserve"> </w:t>
      </w:r>
      <w:r>
        <w:rPr>
          <w:rFonts w:ascii="Arial" w:cs="Arial" w:eastAsia="Arial" w:hAnsi="Arial"/>
          <w:sz w:val="21"/>
          <w:szCs w:val="21"/>
          <w:color w:val="auto"/>
        </w:rPr>
        <w:t>account in computing the amount of salary or compensation for purposes of determining</w:t>
      </w:r>
    </w:p>
    <w:p>
      <w:pPr>
        <w:spacing w:after="0" w:line="19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any bonus, incentive, pension, severance, retirement, death or other benefit under any other bonus, incentive, pension, retirement, insurance or other employee benefit plan of the Company or its affiliates, unless such plan or agreement expressly provides otherwise.</w:t>
      </w:r>
    </w:p>
    <w:p>
      <w:pPr>
        <w:spacing w:after="0" w:line="221" w:lineRule="exact"/>
        <w:rPr>
          <w:sz w:val="20"/>
          <w:szCs w:val="20"/>
          <w:color w:val="auto"/>
        </w:rPr>
      </w:pPr>
    </w:p>
    <w:p>
      <w:pPr>
        <w:jc w:val="both"/>
        <w:ind w:right="20" w:firstLine="749"/>
        <w:spacing w:after="0" w:line="243" w:lineRule="auto"/>
        <w:tabs>
          <w:tab w:leader="none" w:pos="1426"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will be governed by, and construed under and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Delaware, without reference to rules relating to conflicts of laws.</w:t>
      </w:r>
    </w:p>
    <w:p>
      <w:pPr>
        <w:spacing w:after="0" w:line="203" w:lineRule="exact"/>
        <w:rPr>
          <w:rFonts w:ascii="Arial" w:cs="Arial" w:eastAsia="Arial" w:hAnsi="Arial"/>
          <w:sz w:val="22"/>
          <w:szCs w:val="22"/>
          <w:color w:val="auto"/>
        </w:rPr>
      </w:pPr>
    </w:p>
    <w:p>
      <w:pPr>
        <w:jc w:val="both"/>
        <w:ind w:firstLine="750"/>
        <w:spacing w:after="0" w:line="243" w:lineRule="auto"/>
        <w:tabs>
          <w:tab w:leader="none" w:pos="1426"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to be an original but all of which together shall constitute one and the same instrument.</w:t>
      </w:r>
    </w:p>
    <w:p>
      <w:pPr>
        <w:spacing w:after="0" w:line="217" w:lineRule="exact"/>
        <w:rPr>
          <w:rFonts w:ascii="Arial" w:cs="Arial" w:eastAsia="Arial" w:hAnsi="Arial"/>
          <w:sz w:val="22"/>
          <w:szCs w:val="22"/>
          <w:color w:val="auto"/>
        </w:rPr>
      </w:pPr>
    </w:p>
    <w:p>
      <w:pPr>
        <w:jc w:val="both"/>
        <w:ind w:firstLine="750"/>
        <w:spacing w:after="0" w:line="237" w:lineRule="auto"/>
        <w:tabs>
          <w:tab w:leader="none" w:pos="1427"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Entire Agreement; Amendment. </w:t>
      </w:r>
      <w:r>
        <w:rPr>
          <w:rFonts w:ascii="Arial" w:cs="Arial" w:eastAsia="Arial" w:hAnsi="Arial"/>
          <w:sz w:val="22"/>
          <w:szCs w:val="22"/>
          <w:color w:val="auto"/>
        </w:rPr>
        <w:t>This Agreement constitutes the 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you and the Company with respect to the Retention Bonus and supersedes any and all prior agreements or understandings between you and the Company with respect to the Retention Bonus, whether written or oral. This Agreement may be amended or modified only by a written instrument executed by you and the Company.</w:t>
      </w:r>
    </w:p>
    <w:p>
      <w:pPr>
        <w:spacing w:after="0" w:line="222" w:lineRule="exact"/>
        <w:rPr>
          <w:rFonts w:ascii="Arial" w:cs="Arial" w:eastAsia="Arial" w:hAnsi="Arial"/>
          <w:sz w:val="22"/>
          <w:szCs w:val="22"/>
          <w:color w:val="auto"/>
        </w:rPr>
      </w:pPr>
    </w:p>
    <w:p>
      <w:pPr>
        <w:jc w:val="both"/>
        <w:ind w:firstLine="749"/>
        <w:spacing w:after="0" w:line="289" w:lineRule="auto"/>
        <w:tabs>
          <w:tab w:leader="none" w:pos="1427"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 xml:space="preserve">Section 409A Compliance. </w:t>
      </w:r>
      <w:r>
        <w:rPr>
          <w:rFonts w:ascii="Arial" w:cs="Arial" w:eastAsia="Arial" w:hAnsi="Arial"/>
          <w:sz w:val="19"/>
          <w:szCs w:val="19"/>
          <w:color w:val="auto"/>
        </w:rPr>
        <w:t>Although the Company does not guarantee the tax treatment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Retention Bonus, the intent of the parties is that the Retention Bonus be exempt from the requirements of Section 409A of the Internal Revenue Code of 1986, as amended, and accordingly, to the maximum extent permitted, this Agreement shall be interpreted in a manner consistent therewith.</w:t>
      </w:r>
    </w:p>
    <w:p>
      <w:pPr>
        <w:spacing w:after="0" w:line="162" w:lineRule="exact"/>
        <w:rPr>
          <w:rFonts w:ascii="Arial" w:cs="Arial" w:eastAsia="Arial" w:hAnsi="Arial"/>
          <w:sz w:val="19"/>
          <w:szCs w:val="19"/>
          <w:color w:val="auto"/>
        </w:rPr>
      </w:pPr>
    </w:p>
    <w:p>
      <w:pPr>
        <w:jc w:val="both"/>
        <w:ind w:right="20" w:firstLine="750"/>
        <w:spacing w:after="0" w:line="243" w:lineRule="auto"/>
        <w:tabs>
          <w:tab w:leader="none" w:pos="1426"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Administration. </w:t>
      </w:r>
      <w:r>
        <w:rPr>
          <w:rFonts w:ascii="Arial" w:cs="Arial" w:eastAsia="Arial" w:hAnsi="Arial"/>
          <w:sz w:val="22"/>
          <w:szCs w:val="22"/>
          <w:color w:val="auto"/>
        </w:rPr>
        <w:t>The Company shall have full power and authority to construe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 this Agreement, and any interpretation by the Company shall be binding on you and your representatives and shall be accorded the maximum deference permitted by law.</w:t>
      </w:r>
    </w:p>
    <w:p>
      <w:pPr>
        <w:spacing w:after="0" w:line="200" w:lineRule="exact"/>
        <w:rPr>
          <w:sz w:val="20"/>
          <w:szCs w:val="20"/>
          <w:color w:val="auto"/>
        </w:rPr>
      </w:pPr>
    </w:p>
    <w:p>
      <w:pPr>
        <w:spacing w:after="0" w:line="220"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[REMAINDER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323850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00"/>
          </w:cols>
          <w:pgMar w:left="1180" w:top="315" w:right="131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Best,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/s/ Douglas Braunstein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Douglas Braunstein, Interim CEO</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I confirm my receipt, understanding and agreement with the terms of this Agreement: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/s/ Gil Margolin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Employee Name (Printed):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Gil Margolin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60"/>
        <w:spacing w:after="0"/>
        <w:rPr>
          <w:sz w:val="20"/>
          <w:szCs w:val="20"/>
          <w:color w:val="auto"/>
        </w:rPr>
      </w:pPr>
      <w:r>
        <w:rPr>
          <w:rFonts w:ascii="Arial" w:cs="Arial" w:eastAsia="Arial" w:hAnsi="Arial"/>
          <w:sz w:val="22"/>
          <w:szCs w:val="22"/>
          <w:i w:val="1"/>
          <w:iCs w:val="1"/>
          <w:color w:val="auto"/>
        </w:rPr>
        <w:t>Signature Page to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191770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88"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165100</wp:posOffset>
            </wp:positionV>
            <wp:extent cx="5631815" cy="4718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3">
                      <a:extLst>
                        <a:ext uri="{28A0092B-C50C-407E-A947-70E740481C1C}"/>
                      </a:extLst>
                    </a:blip>
                    <a:srcRect/>
                    <a:stretch>
                      <a:fillRect/>
                    </a:stretch>
                  </pic:blipFill>
                  <pic:spPr bwMode="auto">
                    <a:xfrm>
                      <a:off x="0" y="0"/>
                      <a:ext cx="56318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Personal and Confidential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December 6,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Samara Braunstein:</w:t>
      </w:r>
    </w:p>
    <w:p>
      <w:pPr>
        <w:spacing w:after="0" w:line="233" w:lineRule="exact"/>
        <w:rPr>
          <w:sz w:val="20"/>
          <w:szCs w:val="20"/>
          <w:color w:val="auto"/>
        </w:rPr>
      </w:pPr>
    </w:p>
    <w:p>
      <w:pPr>
        <w:jc w:val="both"/>
        <w:ind w:right="860" w:firstLine="749"/>
        <w:spacing w:after="0" w:line="249" w:lineRule="auto"/>
        <w:rPr>
          <w:sz w:val="20"/>
          <w:szCs w:val="20"/>
          <w:color w:val="auto"/>
        </w:rPr>
      </w:pPr>
      <w:r>
        <w:rPr>
          <w:rFonts w:ascii="Arial" w:cs="Arial" w:eastAsia="Arial" w:hAnsi="Arial"/>
          <w:sz w:val="21"/>
          <w:szCs w:val="21"/>
          <w:color w:val="auto"/>
        </w:rPr>
        <w:t>As you know, Talkspace, Inc. (the “</w:t>
      </w:r>
      <w:r>
        <w:rPr>
          <w:rFonts w:ascii="Arial" w:cs="Arial" w:eastAsia="Arial" w:hAnsi="Arial"/>
          <w:sz w:val="21"/>
          <w:szCs w:val="21"/>
          <w:u w:val="single" w:color="auto"/>
          <w:color w:val="auto"/>
        </w:rPr>
        <w:t>Company</w:t>
      </w:r>
      <w:r>
        <w:rPr>
          <w:rFonts w:ascii="Arial" w:cs="Arial" w:eastAsia="Arial" w:hAnsi="Arial"/>
          <w:sz w:val="21"/>
          <w:szCs w:val="21"/>
          <w:color w:val="auto"/>
        </w:rPr>
        <w:t>”) recently announced changes to its management team. You are a valued member of our team, and in order to ensure your continued dedication during this time of transition, you are being offered the opportunity to receive a cash payment in the amount of $165,000 (the “</w:t>
      </w:r>
      <w:r>
        <w:rPr>
          <w:rFonts w:ascii="Arial" w:cs="Arial" w:eastAsia="Arial" w:hAnsi="Arial"/>
          <w:sz w:val="21"/>
          <w:szCs w:val="21"/>
          <w:u w:val="single" w:color="auto"/>
          <w:color w:val="auto"/>
        </w:rPr>
        <w:t>Retention Bonus</w:t>
      </w:r>
      <w:r>
        <w:rPr>
          <w:rFonts w:ascii="Arial" w:cs="Arial" w:eastAsia="Arial" w:hAnsi="Arial"/>
          <w:sz w:val="21"/>
          <w:szCs w:val="21"/>
          <w:color w:val="auto"/>
        </w:rPr>
        <w:t>”), if you agree to the terms and conditions contained in this letter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which shall be effective upon your execution.</w:t>
      </w:r>
    </w:p>
    <w:p>
      <w:pPr>
        <w:spacing w:after="0" w:line="159" w:lineRule="exact"/>
        <w:rPr>
          <w:sz w:val="20"/>
          <w:szCs w:val="20"/>
          <w:color w:val="auto"/>
        </w:rPr>
      </w:pPr>
    </w:p>
    <w:p>
      <w:pPr>
        <w:jc w:val="both"/>
        <w:ind w:left="100" w:right="960" w:firstLine="746"/>
        <w:spacing w:after="0" w:line="258" w:lineRule="auto"/>
        <w:tabs>
          <w:tab w:leader="none" w:pos="1522" w:val="left"/>
        </w:tabs>
        <w:numPr>
          <w:ilvl w:val="0"/>
          <w:numId w:val="114"/>
        </w:numPr>
        <w:rPr>
          <w:rFonts w:ascii="Arial" w:cs="Arial" w:eastAsia="Arial" w:hAnsi="Arial"/>
          <w:sz w:val="20"/>
          <w:szCs w:val="20"/>
          <w:color w:val="auto"/>
        </w:rPr>
      </w:pPr>
      <w:r>
        <w:rPr>
          <w:rFonts w:ascii="Arial" w:cs="Arial" w:eastAsia="Arial" w:hAnsi="Arial"/>
          <w:sz w:val="20"/>
          <w:szCs w:val="20"/>
          <w:b w:val="1"/>
          <w:bCs w:val="1"/>
          <w:color w:val="auto"/>
        </w:rPr>
        <w:t xml:space="preserve">Retention Bonus Payment. </w:t>
      </w:r>
      <w:r>
        <w:rPr>
          <w:rFonts w:ascii="Arial" w:cs="Arial" w:eastAsia="Arial" w:hAnsi="Arial"/>
          <w:sz w:val="20"/>
          <w:szCs w:val="20"/>
          <w:color w:val="auto"/>
        </w:rPr>
        <w:t>Subject to the terms of this Agreement and your execution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the Company will pay you the Retention Bonus in two equal installments as follows: (i) 50% on the first Company payroll date following the last day of the 2</w:t>
      </w:r>
      <w:r>
        <w:rPr>
          <w:rFonts w:ascii="Arial" w:cs="Arial" w:eastAsia="Arial" w:hAnsi="Arial"/>
          <w:sz w:val="13"/>
          <w:szCs w:val="13"/>
          <w:color w:val="auto"/>
        </w:rPr>
        <w:t>nd</w:t>
      </w:r>
      <w:r>
        <w:rPr>
          <w:rFonts w:ascii="Arial" w:cs="Arial" w:eastAsia="Arial" w:hAnsi="Arial"/>
          <w:sz w:val="20"/>
          <w:szCs w:val="20"/>
          <w:color w:val="auto"/>
        </w:rPr>
        <w:t xml:space="preserve"> quarter of the fiscal year ending December 31, 2022, and (ii) 50% on the first Company payroll date following the last day of the 3</w:t>
      </w:r>
      <w:r>
        <w:rPr>
          <w:rFonts w:ascii="Arial" w:cs="Arial" w:eastAsia="Arial" w:hAnsi="Arial"/>
          <w:sz w:val="13"/>
          <w:szCs w:val="13"/>
          <w:color w:val="auto"/>
        </w:rPr>
        <w:t>rd</w:t>
      </w:r>
      <w:r>
        <w:rPr>
          <w:rFonts w:ascii="Arial" w:cs="Arial" w:eastAsia="Arial" w:hAnsi="Arial"/>
          <w:sz w:val="20"/>
          <w:szCs w:val="20"/>
          <w:color w:val="auto"/>
        </w:rPr>
        <w:t xml:space="preserve"> quarter of the fiscal year ending December 31, 2022 (each, an “</w:t>
      </w:r>
      <w:r>
        <w:rPr>
          <w:rFonts w:ascii="Arial" w:cs="Arial" w:eastAsia="Arial" w:hAnsi="Arial"/>
          <w:sz w:val="20"/>
          <w:szCs w:val="20"/>
          <w:u w:val="single" w:color="auto"/>
          <w:color w:val="auto"/>
        </w:rPr>
        <w:t>Installment Payment</w:t>
      </w:r>
      <w:r>
        <w:rPr>
          <w:rFonts w:ascii="Arial" w:cs="Arial" w:eastAsia="Arial" w:hAnsi="Arial"/>
          <w:sz w:val="20"/>
          <w:szCs w:val="20"/>
          <w:color w:val="auto"/>
        </w:rPr>
        <w:t>”). In order to receive any Installment Payment, you must be employed by the Company on the date such Installment Payment is paid. No Installment Payment shall be earned until actually paid to you. For the second Installment Payment paid at the end of 3</w:t>
      </w:r>
      <w:r>
        <w:rPr>
          <w:rFonts w:ascii="Arial" w:cs="Arial" w:eastAsia="Arial" w:hAnsi="Arial"/>
          <w:sz w:val="13"/>
          <w:szCs w:val="13"/>
          <w:color w:val="auto"/>
        </w:rPr>
        <w:t>rd</w:t>
      </w:r>
      <w:r>
        <w:rPr>
          <w:rFonts w:ascii="Arial" w:cs="Arial" w:eastAsia="Arial" w:hAnsi="Arial"/>
          <w:sz w:val="20"/>
          <w:szCs w:val="20"/>
          <w:color w:val="auto"/>
        </w:rPr>
        <w:t xml:space="preserve"> quarter, the payment will be contingent on your continuing employment with the Company up and until December 31, 2022. If you resign your position or are terminated “for cause” on or before December 31, 2022, the Company retains the sole option to seek repayment of the second Installment Payment in full.</w:t>
      </w:r>
    </w:p>
    <w:p>
      <w:pPr>
        <w:spacing w:after="0" w:line="210" w:lineRule="exact"/>
        <w:rPr>
          <w:rFonts w:ascii="Arial" w:cs="Arial" w:eastAsia="Arial" w:hAnsi="Arial"/>
          <w:sz w:val="20"/>
          <w:szCs w:val="20"/>
          <w:color w:val="auto"/>
        </w:rPr>
      </w:pPr>
    </w:p>
    <w:p>
      <w:pPr>
        <w:jc w:val="both"/>
        <w:ind w:left="100" w:right="980" w:firstLine="749"/>
        <w:spacing w:after="0" w:line="239" w:lineRule="auto"/>
        <w:tabs>
          <w:tab w:leader="none" w:pos="1527" w:val="left"/>
        </w:tabs>
        <w:numPr>
          <w:ilvl w:val="0"/>
          <w:numId w:val="114"/>
        </w:numPr>
        <w:rPr>
          <w:rFonts w:ascii="Arial" w:cs="Arial" w:eastAsia="Arial" w:hAnsi="Arial"/>
          <w:sz w:val="22"/>
          <w:szCs w:val="22"/>
          <w:color w:val="auto"/>
        </w:rPr>
      </w:pPr>
      <w:r>
        <w:rPr>
          <w:rFonts w:ascii="Arial" w:cs="Arial" w:eastAsia="Arial" w:hAnsi="Arial"/>
          <w:sz w:val="22"/>
          <w:szCs w:val="22"/>
          <w:b w:val="1"/>
          <w:bCs w:val="1"/>
          <w:color w:val="auto"/>
        </w:rPr>
        <w:t xml:space="preserve">Confidentiality of this Agreement. </w:t>
      </w:r>
      <w:r>
        <w:rPr>
          <w:rFonts w:ascii="Arial" w:cs="Arial" w:eastAsia="Arial" w:hAnsi="Arial"/>
          <w:sz w:val="22"/>
          <w:szCs w:val="22"/>
          <w:color w:val="auto"/>
        </w:rPr>
        <w:t>You must keep the terms and conditions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strictly confidential, except for disclosures to your immediate family and any tax, legal or other counsel that you have consulted regarding this Agreement, whom you will instruct not to disclose the same, and disclosures specifically authorized or required by law.</w:t>
      </w:r>
    </w:p>
    <w:p>
      <w:pPr>
        <w:spacing w:after="0" w:line="207" w:lineRule="exact"/>
        <w:rPr>
          <w:rFonts w:ascii="Arial" w:cs="Arial" w:eastAsia="Arial" w:hAnsi="Arial"/>
          <w:sz w:val="22"/>
          <w:szCs w:val="22"/>
          <w:color w:val="auto"/>
        </w:rPr>
      </w:pPr>
    </w:p>
    <w:p>
      <w:pPr>
        <w:jc w:val="both"/>
        <w:ind w:left="100" w:right="980" w:firstLine="750"/>
        <w:spacing w:after="0" w:line="243" w:lineRule="auto"/>
        <w:tabs>
          <w:tab w:leader="none" w:pos="1527" w:val="left"/>
        </w:tabs>
        <w:numPr>
          <w:ilvl w:val="0"/>
          <w:numId w:val="114"/>
        </w:numPr>
        <w:rPr>
          <w:rFonts w:ascii="Arial" w:cs="Arial" w:eastAsia="Arial" w:hAnsi="Arial"/>
          <w:sz w:val="22"/>
          <w:szCs w:val="22"/>
          <w:color w:val="auto"/>
        </w:rPr>
      </w:pPr>
      <w:r>
        <w:rPr>
          <w:rFonts w:ascii="Arial" w:cs="Arial" w:eastAsia="Arial" w:hAnsi="Arial"/>
          <w:sz w:val="22"/>
          <w:szCs w:val="22"/>
          <w:b w:val="1"/>
          <w:bCs w:val="1"/>
          <w:color w:val="auto"/>
        </w:rPr>
        <w:t xml:space="preserve">Withholding Taxes. </w:t>
      </w:r>
      <w:r>
        <w:rPr>
          <w:rFonts w:ascii="Arial" w:cs="Arial" w:eastAsia="Arial" w:hAnsi="Arial"/>
          <w:sz w:val="22"/>
          <w:szCs w:val="22"/>
          <w:color w:val="auto"/>
        </w:rPr>
        <w:t>The Company may withhold from each Installment Payment such</w:t>
      </w:r>
      <w:r>
        <w:rPr>
          <w:rFonts w:ascii="Arial" w:cs="Arial" w:eastAsia="Arial" w:hAnsi="Arial"/>
          <w:sz w:val="22"/>
          <w:szCs w:val="22"/>
          <w:b w:val="1"/>
          <w:bCs w:val="1"/>
          <w:color w:val="auto"/>
        </w:rPr>
        <w:t xml:space="preserve"> </w:t>
      </w:r>
      <w:r>
        <w:rPr>
          <w:rFonts w:ascii="Arial" w:cs="Arial" w:eastAsia="Arial" w:hAnsi="Arial"/>
          <w:sz w:val="22"/>
          <w:szCs w:val="22"/>
          <w:color w:val="auto"/>
        </w:rPr>
        <w:t>federal, state, and local taxes as the Company determines in its sole discretion may be required to be withheld pursuant to any applicable law or regulation.</w:t>
      </w:r>
    </w:p>
    <w:p>
      <w:pPr>
        <w:spacing w:after="0" w:line="217" w:lineRule="exact"/>
        <w:rPr>
          <w:rFonts w:ascii="Arial" w:cs="Arial" w:eastAsia="Arial" w:hAnsi="Arial"/>
          <w:sz w:val="22"/>
          <w:szCs w:val="22"/>
          <w:color w:val="auto"/>
        </w:rPr>
      </w:pPr>
    </w:p>
    <w:p>
      <w:pPr>
        <w:jc w:val="both"/>
        <w:ind w:left="100" w:right="980" w:firstLine="749"/>
        <w:spacing w:after="0" w:line="289" w:lineRule="auto"/>
        <w:tabs>
          <w:tab w:leader="none" w:pos="1527" w:val="left"/>
        </w:tabs>
        <w:numPr>
          <w:ilvl w:val="0"/>
          <w:numId w:val="114"/>
        </w:numPr>
        <w:rPr>
          <w:rFonts w:ascii="Arial" w:cs="Arial" w:eastAsia="Arial" w:hAnsi="Arial"/>
          <w:sz w:val="19"/>
          <w:szCs w:val="19"/>
          <w:color w:val="auto"/>
        </w:rPr>
      </w:pPr>
      <w:r>
        <w:rPr>
          <w:rFonts w:ascii="Arial" w:cs="Arial" w:eastAsia="Arial" w:hAnsi="Arial"/>
          <w:sz w:val="19"/>
          <w:szCs w:val="19"/>
          <w:b w:val="1"/>
          <w:bCs w:val="1"/>
          <w:color w:val="auto"/>
        </w:rPr>
        <w:t xml:space="preserve">No Right to Continued Employment. </w:t>
      </w:r>
      <w:r>
        <w:rPr>
          <w:rFonts w:ascii="Arial" w:cs="Arial" w:eastAsia="Arial" w:hAnsi="Arial"/>
          <w:sz w:val="19"/>
          <w:szCs w:val="19"/>
          <w:color w:val="auto"/>
        </w:rPr>
        <w:t>Nothing in this Agreement will confer upon you</w:t>
      </w:r>
      <w:r>
        <w:rPr>
          <w:rFonts w:ascii="Arial" w:cs="Arial" w:eastAsia="Arial" w:hAnsi="Arial"/>
          <w:sz w:val="19"/>
          <w:szCs w:val="19"/>
          <w:b w:val="1"/>
          <w:bCs w:val="1"/>
          <w:color w:val="auto"/>
        </w:rPr>
        <w:t xml:space="preserve"> </w:t>
      </w:r>
      <w:r>
        <w:rPr>
          <w:rFonts w:ascii="Arial" w:cs="Arial" w:eastAsia="Arial" w:hAnsi="Arial"/>
          <w:sz w:val="19"/>
          <w:szCs w:val="19"/>
          <w:color w:val="auto"/>
        </w:rPr>
        <w:t>any right to continued employment with the Company (or its affiliates or their respective successors) or to interfere in any way with the right of the Company (or its affiliates or their respective successors) to terminate your employment at any time, without notice, and for any or no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279400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15" w:right="339" w:bottom="1440" w:gutter="0" w:footer="0" w:header="0"/>
        </w:sectPr>
      </w:pPr>
    </w:p>
    <w:bookmarkStart w:id="170" w:name="page171"/>
    <w:bookmarkEnd w:id="170"/>
    <w:p>
      <w:pPr>
        <w:ind w:right="20" w:firstLine="750"/>
        <w:spacing w:after="0" w:line="280" w:lineRule="auto"/>
        <w:tabs>
          <w:tab w:leader="none" w:pos="1426" w:val="left"/>
        </w:tabs>
        <w:numPr>
          <w:ilvl w:val="0"/>
          <w:numId w:val="115"/>
        </w:numPr>
        <w:rPr>
          <w:rFonts w:ascii="Arial" w:cs="Arial" w:eastAsia="Arial" w:hAnsi="Arial"/>
          <w:sz w:val="21"/>
          <w:szCs w:val="21"/>
          <w:color w:val="auto"/>
        </w:rPr>
      </w:pPr>
      <w:r>
        <w:rPr>
          <w:rFonts w:ascii="Arial" w:cs="Arial" w:eastAsia="Arial" w:hAnsi="Arial"/>
          <w:sz w:val="21"/>
          <w:szCs w:val="21"/>
          <w:b w:val="1"/>
          <w:bCs w:val="1"/>
          <w:color w:val="auto"/>
        </w:rPr>
        <w:t xml:space="preserve">Other Benefits. </w:t>
      </w:r>
      <w:r>
        <w:rPr>
          <w:rFonts w:ascii="Arial" w:cs="Arial" w:eastAsia="Arial" w:hAnsi="Arial"/>
          <w:sz w:val="21"/>
          <w:szCs w:val="21"/>
          <w:color w:val="auto"/>
        </w:rPr>
        <w:t>The Retention Bonus is a special payment to you and will not be taken into</w:t>
      </w:r>
      <w:r>
        <w:rPr>
          <w:rFonts w:ascii="Arial" w:cs="Arial" w:eastAsia="Arial" w:hAnsi="Arial"/>
          <w:sz w:val="21"/>
          <w:szCs w:val="21"/>
          <w:b w:val="1"/>
          <w:bCs w:val="1"/>
          <w:color w:val="auto"/>
        </w:rPr>
        <w:t xml:space="preserve"> </w:t>
      </w:r>
      <w:r>
        <w:rPr>
          <w:rFonts w:ascii="Arial" w:cs="Arial" w:eastAsia="Arial" w:hAnsi="Arial"/>
          <w:sz w:val="21"/>
          <w:szCs w:val="21"/>
          <w:color w:val="auto"/>
        </w:rPr>
        <w:t>account in computing the amount of salary or compensation for purposes of determining</w:t>
      </w:r>
    </w:p>
    <w:p>
      <w:pPr>
        <w:spacing w:after="0" w:line="19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any bonus, incentive, pension, severance, retirement, death or other benefit under any other bonus, incentive, pension, retirement, insurance or other employee benefit plan of the Company or its affiliates, unless such plan or agreement expressly provides otherwise.</w:t>
      </w:r>
    </w:p>
    <w:p>
      <w:pPr>
        <w:spacing w:after="0" w:line="221" w:lineRule="exact"/>
        <w:rPr>
          <w:sz w:val="20"/>
          <w:szCs w:val="20"/>
          <w:color w:val="auto"/>
        </w:rPr>
      </w:pPr>
    </w:p>
    <w:p>
      <w:pPr>
        <w:jc w:val="both"/>
        <w:ind w:right="20" w:firstLine="749"/>
        <w:spacing w:after="0" w:line="243" w:lineRule="auto"/>
        <w:tabs>
          <w:tab w:leader="none" w:pos="1426"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will be governed by, and construed under and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Delaware, without reference to rules relating to conflicts of laws.</w:t>
      </w:r>
    </w:p>
    <w:p>
      <w:pPr>
        <w:spacing w:after="0" w:line="203" w:lineRule="exact"/>
        <w:rPr>
          <w:rFonts w:ascii="Arial" w:cs="Arial" w:eastAsia="Arial" w:hAnsi="Arial"/>
          <w:sz w:val="22"/>
          <w:szCs w:val="22"/>
          <w:color w:val="auto"/>
        </w:rPr>
      </w:pPr>
    </w:p>
    <w:p>
      <w:pPr>
        <w:jc w:val="both"/>
        <w:ind w:firstLine="750"/>
        <w:spacing w:after="0" w:line="243" w:lineRule="auto"/>
        <w:tabs>
          <w:tab w:leader="none" w:pos="1426"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to be an original but all of which together shall constitute one and the same instrument.</w:t>
      </w:r>
    </w:p>
    <w:p>
      <w:pPr>
        <w:spacing w:after="0" w:line="217" w:lineRule="exact"/>
        <w:rPr>
          <w:rFonts w:ascii="Arial" w:cs="Arial" w:eastAsia="Arial" w:hAnsi="Arial"/>
          <w:sz w:val="22"/>
          <w:szCs w:val="22"/>
          <w:color w:val="auto"/>
        </w:rPr>
      </w:pPr>
    </w:p>
    <w:p>
      <w:pPr>
        <w:jc w:val="both"/>
        <w:ind w:firstLine="750"/>
        <w:spacing w:after="0" w:line="237" w:lineRule="auto"/>
        <w:tabs>
          <w:tab w:leader="none" w:pos="1427"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 xml:space="preserve">Entire Agreement; Amendment. </w:t>
      </w:r>
      <w:r>
        <w:rPr>
          <w:rFonts w:ascii="Arial" w:cs="Arial" w:eastAsia="Arial" w:hAnsi="Arial"/>
          <w:sz w:val="22"/>
          <w:szCs w:val="22"/>
          <w:color w:val="auto"/>
        </w:rPr>
        <w:t>This Agreement constitutes the 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you and the Company with respect to the Retention Bonus and supersedes any and all prior agreements or understandings between you and the Company with respect to the Retention Bonus, whether written or oral. This Agreement may be amended or modified only by a written instrument executed by you and the Company.</w:t>
      </w:r>
    </w:p>
    <w:p>
      <w:pPr>
        <w:spacing w:after="0" w:line="222" w:lineRule="exact"/>
        <w:rPr>
          <w:rFonts w:ascii="Arial" w:cs="Arial" w:eastAsia="Arial" w:hAnsi="Arial"/>
          <w:sz w:val="22"/>
          <w:szCs w:val="22"/>
          <w:color w:val="auto"/>
        </w:rPr>
      </w:pPr>
    </w:p>
    <w:p>
      <w:pPr>
        <w:jc w:val="both"/>
        <w:ind w:firstLine="749"/>
        <w:spacing w:after="0" w:line="289" w:lineRule="auto"/>
        <w:tabs>
          <w:tab w:leader="none" w:pos="1427"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 xml:space="preserve">Section 409A Compliance. </w:t>
      </w:r>
      <w:r>
        <w:rPr>
          <w:rFonts w:ascii="Arial" w:cs="Arial" w:eastAsia="Arial" w:hAnsi="Arial"/>
          <w:sz w:val="19"/>
          <w:szCs w:val="19"/>
          <w:color w:val="auto"/>
        </w:rPr>
        <w:t>Although the Company does not guarantee the tax treatment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Retention Bonus, the intent of the parties is that the Retention Bonus be exempt from the requirements of Section 409A of the Internal Revenue Code of 1986, as amended, and accordingly, to the maximum extent permitted, this Agreement shall be interpreted in a manner consistent therewith.</w:t>
      </w:r>
    </w:p>
    <w:p>
      <w:pPr>
        <w:spacing w:after="0" w:line="162" w:lineRule="exact"/>
        <w:rPr>
          <w:rFonts w:ascii="Arial" w:cs="Arial" w:eastAsia="Arial" w:hAnsi="Arial"/>
          <w:sz w:val="19"/>
          <w:szCs w:val="19"/>
          <w:color w:val="auto"/>
        </w:rPr>
      </w:pPr>
    </w:p>
    <w:p>
      <w:pPr>
        <w:jc w:val="both"/>
        <w:ind w:right="20" w:firstLine="750"/>
        <w:spacing w:after="0" w:line="243" w:lineRule="auto"/>
        <w:tabs>
          <w:tab w:leader="none" w:pos="1426"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 xml:space="preserve">Administration. </w:t>
      </w:r>
      <w:r>
        <w:rPr>
          <w:rFonts w:ascii="Arial" w:cs="Arial" w:eastAsia="Arial" w:hAnsi="Arial"/>
          <w:sz w:val="22"/>
          <w:szCs w:val="22"/>
          <w:color w:val="auto"/>
        </w:rPr>
        <w:t>The Company shall have full power and authority to construe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 this Agreement, and any interpretation by the Company shall be binding on you and your representatives and shall be accorded the maximum deference permitted by law.</w:t>
      </w:r>
    </w:p>
    <w:p>
      <w:pPr>
        <w:spacing w:after="0" w:line="200" w:lineRule="exact"/>
        <w:rPr>
          <w:sz w:val="20"/>
          <w:szCs w:val="20"/>
          <w:color w:val="auto"/>
        </w:rPr>
      </w:pPr>
    </w:p>
    <w:p>
      <w:pPr>
        <w:spacing w:after="0" w:line="220"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[REMAINDER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323850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00"/>
          </w:cols>
          <w:pgMar w:left="1180" w:top="315" w:right="131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Best,</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 Douglas Braunstein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Douglas Braunstein, Interim CEO</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color w:val="auto"/>
        </w:rPr>
        <w:t>I confirm my receipt, understanding and agreement with the terms of this Agreement:</w:t>
      </w: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 Samara Braunstein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Employee Name (Printed):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Samara Braunstein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160"/>
        <w:spacing w:after="0"/>
        <w:rPr>
          <w:sz w:val="20"/>
          <w:szCs w:val="20"/>
          <w:color w:val="auto"/>
        </w:rPr>
      </w:pPr>
      <w:r>
        <w:rPr>
          <w:rFonts w:ascii="Arial" w:cs="Arial" w:eastAsia="Arial" w:hAnsi="Arial"/>
          <w:sz w:val="22"/>
          <w:szCs w:val="22"/>
          <w:i w:val="1"/>
          <w:iCs w:val="1"/>
          <w:color w:val="auto"/>
        </w:rPr>
        <w:t>Signature Page to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191770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88"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165100</wp:posOffset>
            </wp:positionV>
            <wp:extent cx="5572125" cy="4629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7">
                      <a:extLst>
                        <a:ext uri="{28A0092B-C50C-407E-A947-70E740481C1C}"/>
                      </a:extLst>
                    </a:blip>
                    <a:srcRect/>
                    <a:stretch>
                      <a:fillRect/>
                    </a:stretch>
                  </pic:blipFill>
                  <pic:spPr bwMode="auto">
                    <a:xfrm>
                      <a:off x="0" y="0"/>
                      <a:ext cx="55721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Personal and Confidential</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December 6, 2021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Dear John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Reilly:</w:t>
      </w:r>
    </w:p>
    <w:p>
      <w:pPr>
        <w:spacing w:after="0" w:line="79" w:lineRule="exact"/>
        <w:rPr>
          <w:sz w:val="20"/>
          <w:szCs w:val="20"/>
          <w:color w:val="auto"/>
        </w:rPr>
      </w:pPr>
    </w:p>
    <w:p>
      <w:pPr>
        <w:ind w:left="740"/>
        <w:spacing w:after="0"/>
        <w:rPr>
          <w:sz w:val="20"/>
          <w:szCs w:val="20"/>
          <w:color w:val="auto"/>
        </w:rPr>
      </w:pPr>
      <w:r>
        <w:rPr>
          <w:rFonts w:ascii="Arial" w:cs="Arial" w:eastAsia="Arial" w:hAnsi="Arial"/>
          <w:sz w:val="22"/>
          <w:szCs w:val="22"/>
          <w:color w:val="auto"/>
        </w:rPr>
        <w:t>As you know, Talkspace, Inc. (the “</w:t>
      </w:r>
      <w:r>
        <w:rPr>
          <w:rFonts w:ascii="Arial" w:cs="Arial" w:eastAsia="Arial" w:hAnsi="Arial"/>
          <w:sz w:val="22"/>
          <w:szCs w:val="22"/>
          <w:u w:val="single" w:color="auto"/>
          <w:color w:val="auto"/>
        </w:rPr>
        <w:t>Company</w:t>
      </w:r>
      <w:r>
        <w:rPr>
          <w:rFonts w:ascii="Arial" w:cs="Arial" w:eastAsia="Arial" w:hAnsi="Arial"/>
          <w:sz w:val="22"/>
          <w:szCs w:val="22"/>
          <w:color w:val="auto"/>
        </w:rPr>
        <w:t>”) recently announced changes to its</w:t>
      </w:r>
    </w:p>
    <w:p>
      <w:pPr>
        <w:jc w:val="both"/>
        <w:ind w:right="840"/>
        <w:spacing w:after="0" w:line="246" w:lineRule="auto"/>
        <w:rPr>
          <w:sz w:val="20"/>
          <w:szCs w:val="20"/>
          <w:color w:val="auto"/>
        </w:rPr>
      </w:pPr>
      <w:r>
        <w:rPr>
          <w:rFonts w:ascii="Arial" w:cs="Arial" w:eastAsia="Arial" w:hAnsi="Arial"/>
          <w:sz w:val="21"/>
          <w:szCs w:val="21"/>
          <w:color w:val="auto"/>
        </w:rPr>
        <w:t>management team. You are a valued member of our team, and in order to ensure your continued dedication during this time of transition, you are being offered the opportunity to receive a cash payment in the amount of $200,000 (the “</w:t>
      </w:r>
      <w:r>
        <w:rPr>
          <w:rFonts w:ascii="Arial" w:cs="Arial" w:eastAsia="Arial" w:hAnsi="Arial"/>
          <w:sz w:val="21"/>
          <w:szCs w:val="21"/>
          <w:u w:val="single" w:color="auto"/>
          <w:color w:val="auto"/>
        </w:rPr>
        <w:t>Retention Bonus</w:t>
      </w:r>
      <w:r>
        <w:rPr>
          <w:rFonts w:ascii="Arial" w:cs="Arial" w:eastAsia="Arial" w:hAnsi="Arial"/>
          <w:sz w:val="21"/>
          <w:szCs w:val="21"/>
          <w:color w:val="auto"/>
        </w:rPr>
        <w:t>”), if you agree to the terms and conditions contained in this letter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which shall be effective upon your execution.</w:t>
      </w:r>
    </w:p>
    <w:p>
      <w:pPr>
        <w:spacing w:after="0" w:line="214" w:lineRule="exact"/>
        <w:rPr>
          <w:sz w:val="20"/>
          <w:szCs w:val="20"/>
          <w:color w:val="auto"/>
        </w:rPr>
      </w:pPr>
    </w:p>
    <w:p>
      <w:pPr>
        <w:jc w:val="both"/>
        <w:ind w:left="100" w:right="940" w:firstLine="750"/>
        <w:spacing w:after="0" w:line="258" w:lineRule="auto"/>
        <w:tabs>
          <w:tab w:leader="none" w:pos="1523" w:val="left"/>
        </w:tabs>
        <w:numPr>
          <w:ilvl w:val="0"/>
          <w:numId w:val="117"/>
        </w:numPr>
        <w:rPr>
          <w:rFonts w:ascii="Arial" w:cs="Arial" w:eastAsia="Arial" w:hAnsi="Arial"/>
          <w:sz w:val="20"/>
          <w:szCs w:val="20"/>
          <w:color w:val="auto"/>
        </w:rPr>
      </w:pPr>
      <w:r>
        <w:rPr>
          <w:rFonts w:ascii="Arial" w:cs="Arial" w:eastAsia="Arial" w:hAnsi="Arial"/>
          <w:sz w:val="20"/>
          <w:szCs w:val="20"/>
          <w:b w:val="1"/>
          <w:bCs w:val="1"/>
          <w:color w:val="auto"/>
        </w:rPr>
        <w:t xml:space="preserve">Retention Bonus Payment. </w:t>
      </w:r>
      <w:r>
        <w:rPr>
          <w:rFonts w:ascii="Arial" w:cs="Arial" w:eastAsia="Arial" w:hAnsi="Arial"/>
          <w:sz w:val="20"/>
          <w:szCs w:val="20"/>
          <w:color w:val="auto"/>
        </w:rPr>
        <w:t>Subject to the terms of this Agreement and your execution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the Company will pay you the Retention Bonus in two equal installments as follows: (i) 50% on the first Company payroll date following the last day of the 2</w:t>
      </w:r>
      <w:r>
        <w:rPr>
          <w:rFonts w:ascii="Arial" w:cs="Arial" w:eastAsia="Arial" w:hAnsi="Arial"/>
          <w:sz w:val="13"/>
          <w:szCs w:val="13"/>
          <w:color w:val="auto"/>
        </w:rPr>
        <w:t>nd</w:t>
      </w:r>
      <w:r>
        <w:rPr>
          <w:rFonts w:ascii="Arial" w:cs="Arial" w:eastAsia="Arial" w:hAnsi="Arial"/>
          <w:sz w:val="20"/>
          <w:szCs w:val="20"/>
          <w:color w:val="auto"/>
        </w:rPr>
        <w:t xml:space="preserve"> quarter of the fiscal year ending December 31, 2022, and (ii) 50% on the first Company payroll date following the last day of the 3</w:t>
      </w:r>
      <w:r>
        <w:rPr>
          <w:rFonts w:ascii="Arial" w:cs="Arial" w:eastAsia="Arial" w:hAnsi="Arial"/>
          <w:sz w:val="13"/>
          <w:szCs w:val="13"/>
          <w:color w:val="auto"/>
        </w:rPr>
        <w:t>rd</w:t>
      </w:r>
      <w:r>
        <w:rPr>
          <w:rFonts w:ascii="Arial" w:cs="Arial" w:eastAsia="Arial" w:hAnsi="Arial"/>
          <w:sz w:val="20"/>
          <w:szCs w:val="20"/>
          <w:color w:val="auto"/>
        </w:rPr>
        <w:t xml:space="preserve"> quarter of the fiscal year ending December 31, 2022 (each, an “</w:t>
      </w:r>
      <w:r>
        <w:rPr>
          <w:rFonts w:ascii="Arial" w:cs="Arial" w:eastAsia="Arial" w:hAnsi="Arial"/>
          <w:sz w:val="20"/>
          <w:szCs w:val="20"/>
          <w:u w:val="single" w:color="auto"/>
          <w:color w:val="auto"/>
        </w:rPr>
        <w:t>Installment Payment</w:t>
      </w:r>
      <w:r>
        <w:rPr>
          <w:rFonts w:ascii="Arial" w:cs="Arial" w:eastAsia="Arial" w:hAnsi="Arial"/>
          <w:sz w:val="20"/>
          <w:szCs w:val="20"/>
          <w:color w:val="auto"/>
        </w:rPr>
        <w:t>”). In order to receive any Installment Payment, you must be employed by the Company on the date such Installment Payment is paid. No Installment Payment shall be earned until actually paid to you. For the second Installment Payment paid at the end of 3</w:t>
      </w:r>
      <w:r>
        <w:rPr>
          <w:rFonts w:ascii="Arial" w:cs="Arial" w:eastAsia="Arial" w:hAnsi="Arial"/>
          <w:sz w:val="13"/>
          <w:szCs w:val="13"/>
          <w:color w:val="auto"/>
        </w:rPr>
        <w:t>rd</w:t>
      </w:r>
      <w:r>
        <w:rPr>
          <w:rFonts w:ascii="Arial" w:cs="Arial" w:eastAsia="Arial" w:hAnsi="Arial"/>
          <w:sz w:val="20"/>
          <w:szCs w:val="20"/>
          <w:color w:val="auto"/>
        </w:rPr>
        <w:t xml:space="preserve"> quarter, the payment will be contingent on your continuing employment with the Company up and until December 31, 2022. If you resign your position or are terminated “for cause” on or before December 31, 2022, the Company retains the sole option to seek repayment of the second Installment Payment in full.</w:t>
      </w:r>
    </w:p>
    <w:p>
      <w:pPr>
        <w:spacing w:after="0" w:line="156" w:lineRule="exact"/>
        <w:rPr>
          <w:rFonts w:ascii="Arial" w:cs="Arial" w:eastAsia="Arial" w:hAnsi="Arial"/>
          <w:sz w:val="20"/>
          <w:szCs w:val="20"/>
          <w:color w:val="auto"/>
        </w:rPr>
      </w:pPr>
    </w:p>
    <w:p>
      <w:pPr>
        <w:jc w:val="both"/>
        <w:ind w:left="100" w:right="960" w:firstLine="753"/>
        <w:spacing w:after="0" w:line="239" w:lineRule="auto"/>
        <w:tabs>
          <w:tab w:leader="none" w:pos="1528" w:val="left"/>
        </w:tabs>
        <w:numPr>
          <w:ilvl w:val="0"/>
          <w:numId w:val="117"/>
        </w:numPr>
        <w:rPr>
          <w:rFonts w:ascii="Arial" w:cs="Arial" w:eastAsia="Arial" w:hAnsi="Arial"/>
          <w:sz w:val="22"/>
          <w:szCs w:val="22"/>
          <w:color w:val="auto"/>
        </w:rPr>
      </w:pPr>
      <w:r>
        <w:rPr>
          <w:rFonts w:ascii="Arial" w:cs="Arial" w:eastAsia="Arial" w:hAnsi="Arial"/>
          <w:sz w:val="22"/>
          <w:szCs w:val="22"/>
          <w:b w:val="1"/>
          <w:bCs w:val="1"/>
          <w:color w:val="auto"/>
        </w:rPr>
        <w:t xml:space="preserve">Confidentiality of this Agreement. </w:t>
      </w:r>
      <w:r>
        <w:rPr>
          <w:rFonts w:ascii="Arial" w:cs="Arial" w:eastAsia="Arial" w:hAnsi="Arial"/>
          <w:sz w:val="22"/>
          <w:szCs w:val="22"/>
          <w:color w:val="auto"/>
        </w:rPr>
        <w:t>You must keep the terms and conditions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strictly confidential, except for disclosures to your immediate family and any tax, legal or other counsel that you have consulted regarding this Agreement, whom you will instruct not to disclose the same, and disclosures specifically authorized or required by law.</w:t>
      </w:r>
    </w:p>
    <w:p>
      <w:pPr>
        <w:spacing w:after="0" w:line="180" w:lineRule="exact"/>
        <w:rPr>
          <w:rFonts w:ascii="Arial" w:cs="Arial" w:eastAsia="Arial" w:hAnsi="Arial"/>
          <w:sz w:val="22"/>
          <w:szCs w:val="22"/>
          <w:color w:val="auto"/>
        </w:rPr>
      </w:pPr>
    </w:p>
    <w:p>
      <w:pPr>
        <w:jc w:val="both"/>
        <w:ind w:left="100" w:right="960" w:firstLine="753"/>
        <w:spacing w:after="0" w:line="243" w:lineRule="auto"/>
        <w:tabs>
          <w:tab w:leader="none" w:pos="1528" w:val="left"/>
        </w:tabs>
        <w:numPr>
          <w:ilvl w:val="0"/>
          <w:numId w:val="117"/>
        </w:numPr>
        <w:rPr>
          <w:rFonts w:ascii="Arial" w:cs="Arial" w:eastAsia="Arial" w:hAnsi="Arial"/>
          <w:sz w:val="22"/>
          <w:szCs w:val="22"/>
          <w:color w:val="auto"/>
        </w:rPr>
      </w:pPr>
      <w:r>
        <w:rPr>
          <w:rFonts w:ascii="Arial" w:cs="Arial" w:eastAsia="Arial" w:hAnsi="Arial"/>
          <w:sz w:val="22"/>
          <w:szCs w:val="22"/>
          <w:b w:val="1"/>
          <w:bCs w:val="1"/>
          <w:color w:val="auto"/>
        </w:rPr>
        <w:t xml:space="preserve">Withholding Taxes. </w:t>
      </w:r>
      <w:r>
        <w:rPr>
          <w:rFonts w:ascii="Arial" w:cs="Arial" w:eastAsia="Arial" w:hAnsi="Arial"/>
          <w:sz w:val="22"/>
          <w:szCs w:val="22"/>
          <w:color w:val="auto"/>
        </w:rPr>
        <w:t>The Company may withhold from each Installment Payment such</w:t>
      </w:r>
      <w:r>
        <w:rPr>
          <w:rFonts w:ascii="Arial" w:cs="Arial" w:eastAsia="Arial" w:hAnsi="Arial"/>
          <w:sz w:val="22"/>
          <w:szCs w:val="22"/>
          <w:b w:val="1"/>
          <w:bCs w:val="1"/>
          <w:color w:val="auto"/>
        </w:rPr>
        <w:t xml:space="preserve"> </w:t>
      </w:r>
      <w:r>
        <w:rPr>
          <w:rFonts w:ascii="Arial" w:cs="Arial" w:eastAsia="Arial" w:hAnsi="Arial"/>
          <w:sz w:val="22"/>
          <w:szCs w:val="22"/>
          <w:color w:val="auto"/>
        </w:rPr>
        <w:t>federal, state, and local taxes as the Company determines in its sole discretion may be required to be withheld pursuant to any applicable law or regulation.</w:t>
      </w:r>
    </w:p>
    <w:p>
      <w:pPr>
        <w:spacing w:after="0" w:line="163" w:lineRule="exact"/>
        <w:rPr>
          <w:rFonts w:ascii="Arial" w:cs="Arial" w:eastAsia="Arial" w:hAnsi="Arial"/>
          <w:sz w:val="22"/>
          <w:szCs w:val="22"/>
          <w:color w:val="auto"/>
        </w:rPr>
      </w:pPr>
    </w:p>
    <w:p>
      <w:pPr>
        <w:jc w:val="both"/>
        <w:ind w:left="100" w:right="960" w:firstLine="754"/>
        <w:spacing w:after="0" w:line="289" w:lineRule="auto"/>
        <w:tabs>
          <w:tab w:leader="none" w:pos="1528"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No Right to Continued E m ploym ent. </w:t>
      </w:r>
      <w:r>
        <w:rPr>
          <w:rFonts w:ascii="Arial" w:cs="Arial" w:eastAsia="Arial" w:hAnsi="Arial"/>
          <w:sz w:val="19"/>
          <w:szCs w:val="19"/>
          <w:color w:val="auto"/>
        </w:rPr>
        <w:t>Nothing in this Agreem ent will confer upon you</w:t>
      </w:r>
      <w:r>
        <w:rPr>
          <w:rFonts w:ascii="Arial" w:cs="Arial" w:eastAsia="Arial" w:hAnsi="Arial"/>
          <w:sz w:val="19"/>
          <w:szCs w:val="19"/>
          <w:b w:val="1"/>
          <w:bCs w:val="1"/>
          <w:color w:val="auto"/>
        </w:rPr>
        <w:t xml:space="preserve"> </w:t>
      </w:r>
      <w:r>
        <w:rPr>
          <w:rFonts w:ascii="Arial" w:cs="Arial" w:eastAsia="Arial" w:hAnsi="Arial"/>
          <w:sz w:val="19"/>
          <w:szCs w:val="19"/>
          <w:color w:val="auto"/>
        </w:rPr>
        <w:t>any right to continued employment with the Company (or its affiliates or their respective successors) or to interfere in any way with the right of the Company (or its affiliates or their respective successors) to terminate your employment at any time, without notice, and for any or no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279400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1180" w:top="315" w:right="339" w:bottom="1440" w:gutter="0" w:footer="0" w:header="0"/>
        </w:sectPr>
      </w:pPr>
    </w:p>
    <w:bookmarkStart w:id="173" w:name="page174"/>
    <w:bookmarkEnd w:id="173"/>
    <w:p>
      <w:pPr>
        <w:ind w:firstLine="753"/>
        <w:spacing w:after="0" w:line="266" w:lineRule="auto"/>
        <w:tabs>
          <w:tab w:leader="none" w:pos="1427" w:val="left"/>
        </w:tabs>
        <w:numPr>
          <w:ilvl w:val="0"/>
          <w:numId w:val="118"/>
        </w:numPr>
        <w:rPr>
          <w:rFonts w:ascii="Arial" w:cs="Arial" w:eastAsia="Arial" w:hAnsi="Arial"/>
          <w:sz w:val="21"/>
          <w:szCs w:val="21"/>
          <w:color w:val="auto"/>
        </w:rPr>
      </w:pPr>
      <w:r>
        <w:rPr>
          <w:rFonts w:ascii="Arial" w:cs="Arial" w:eastAsia="Arial" w:hAnsi="Arial"/>
          <w:sz w:val="21"/>
          <w:szCs w:val="21"/>
          <w:b w:val="1"/>
          <w:bCs w:val="1"/>
          <w:color w:val="auto"/>
        </w:rPr>
        <w:t xml:space="preserve">Other Benefits. </w:t>
      </w:r>
      <w:r>
        <w:rPr>
          <w:rFonts w:ascii="Arial" w:cs="Arial" w:eastAsia="Arial" w:hAnsi="Arial"/>
          <w:sz w:val="21"/>
          <w:szCs w:val="21"/>
          <w:color w:val="auto"/>
        </w:rPr>
        <w:t>The Retention Bonus is a special payment to you and will not be taken</w:t>
      </w:r>
      <w:r>
        <w:rPr>
          <w:rFonts w:ascii="Arial" w:cs="Arial" w:eastAsia="Arial" w:hAnsi="Arial"/>
          <w:sz w:val="21"/>
          <w:szCs w:val="21"/>
          <w:b w:val="1"/>
          <w:bCs w:val="1"/>
          <w:color w:val="auto"/>
        </w:rPr>
        <w:t xml:space="preserve"> </w:t>
      </w:r>
      <w:r>
        <w:rPr>
          <w:rFonts w:ascii="Arial" w:cs="Arial" w:eastAsia="Arial" w:hAnsi="Arial"/>
          <w:sz w:val="21"/>
          <w:szCs w:val="21"/>
          <w:color w:val="auto"/>
        </w:rPr>
        <w:t>into account in computing the amount of salary or compensation for purposes of determining</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any bonus, incentive, pension, severance, retirement, death or other benefit under any other bonus, incentive, pension, retirement, insurance or other employee benefit plan of the Company or its affiliates, unless such plan or agreement expressly provides otherwise.</w:t>
      </w:r>
    </w:p>
    <w:p>
      <w:pPr>
        <w:spacing w:after="0" w:line="180" w:lineRule="exact"/>
        <w:rPr>
          <w:sz w:val="20"/>
          <w:szCs w:val="20"/>
          <w:color w:val="auto"/>
        </w:rPr>
      </w:pPr>
    </w:p>
    <w:p>
      <w:pPr>
        <w:jc w:val="both"/>
        <w:ind w:right="20" w:firstLine="754"/>
        <w:spacing w:after="0" w:line="243" w:lineRule="auto"/>
        <w:tabs>
          <w:tab w:leader="none" w:pos="1427"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will be governed by, and construed under and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Delaware, without reference to rules relating to conflicts of laws.</w:t>
      </w:r>
    </w:p>
    <w:p>
      <w:pPr>
        <w:spacing w:after="0" w:line="163" w:lineRule="exact"/>
        <w:rPr>
          <w:rFonts w:ascii="Arial" w:cs="Arial" w:eastAsia="Arial" w:hAnsi="Arial"/>
          <w:sz w:val="22"/>
          <w:szCs w:val="22"/>
          <w:color w:val="auto"/>
        </w:rPr>
      </w:pPr>
    </w:p>
    <w:p>
      <w:pPr>
        <w:jc w:val="both"/>
        <w:ind w:firstLine="753"/>
        <w:spacing w:after="0" w:line="243" w:lineRule="auto"/>
        <w:tabs>
          <w:tab w:leader="none" w:pos="1427"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to be an original but all of which together shall constitute one and the same instrument.</w:t>
      </w:r>
    </w:p>
    <w:p>
      <w:pPr>
        <w:spacing w:after="0" w:line="163" w:lineRule="exact"/>
        <w:rPr>
          <w:rFonts w:ascii="Arial" w:cs="Arial" w:eastAsia="Arial" w:hAnsi="Arial"/>
          <w:sz w:val="22"/>
          <w:szCs w:val="22"/>
          <w:color w:val="auto"/>
        </w:rPr>
      </w:pPr>
    </w:p>
    <w:p>
      <w:pPr>
        <w:jc w:val="both"/>
        <w:ind w:firstLine="754"/>
        <w:spacing w:after="0" w:line="237" w:lineRule="auto"/>
        <w:tabs>
          <w:tab w:leader="none" w:pos="1428"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 xml:space="preserve">Entire Agreement; Amendment. </w:t>
      </w:r>
      <w:r>
        <w:rPr>
          <w:rFonts w:ascii="Arial" w:cs="Arial" w:eastAsia="Arial" w:hAnsi="Arial"/>
          <w:sz w:val="22"/>
          <w:szCs w:val="22"/>
          <w:color w:val="auto"/>
        </w:rPr>
        <w:t>This Agreement constitutes the 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you and the Company with respect to the Retention Bonus and supersedes any and all prior agreements or understandings between you and the Company with respect to the Retention Bonus, whether written or oral. This Agreement may be amended or modified only by a written instrument executed by you and the Company.</w:t>
      </w:r>
    </w:p>
    <w:p>
      <w:pPr>
        <w:spacing w:after="0" w:line="222" w:lineRule="exact"/>
        <w:rPr>
          <w:rFonts w:ascii="Arial" w:cs="Arial" w:eastAsia="Arial" w:hAnsi="Arial"/>
          <w:sz w:val="22"/>
          <w:szCs w:val="22"/>
          <w:color w:val="auto"/>
        </w:rPr>
      </w:pPr>
    </w:p>
    <w:p>
      <w:pPr>
        <w:jc w:val="both"/>
        <w:ind w:firstLine="754"/>
        <w:spacing w:after="0" w:line="289" w:lineRule="auto"/>
        <w:tabs>
          <w:tab w:leader="none" w:pos="1428" w:val="left"/>
        </w:tabs>
        <w:numPr>
          <w:ilvl w:val="0"/>
          <w:numId w:val="119"/>
        </w:numPr>
        <w:rPr>
          <w:rFonts w:ascii="Arial" w:cs="Arial" w:eastAsia="Arial" w:hAnsi="Arial"/>
          <w:sz w:val="19"/>
          <w:szCs w:val="19"/>
          <w:color w:val="auto"/>
        </w:rPr>
      </w:pPr>
      <w:r>
        <w:rPr>
          <w:rFonts w:ascii="Arial" w:cs="Arial" w:eastAsia="Arial" w:hAnsi="Arial"/>
          <w:sz w:val="19"/>
          <w:szCs w:val="19"/>
          <w:b w:val="1"/>
          <w:bCs w:val="1"/>
          <w:color w:val="auto"/>
        </w:rPr>
        <w:t xml:space="preserve">Section 409A Compliance. </w:t>
      </w:r>
      <w:r>
        <w:rPr>
          <w:rFonts w:ascii="Arial" w:cs="Arial" w:eastAsia="Arial" w:hAnsi="Arial"/>
          <w:sz w:val="19"/>
          <w:szCs w:val="19"/>
          <w:color w:val="auto"/>
        </w:rPr>
        <w:t>Although the Company does not guarantee the tax treatment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Retention Bonus, the intent of the parties is that the Retention Bonus be exempt from the requirements of Section 409A of the Internal Revenue Code of 1986, as amended, and accordingly, to the maximum extent permitted, this Agreement shall be interpreted in a manner consistent therewith.</w:t>
      </w:r>
    </w:p>
    <w:p>
      <w:pPr>
        <w:spacing w:after="0" w:line="162" w:lineRule="exact"/>
        <w:rPr>
          <w:rFonts w:ascii="Arial" w:cs="Arial" w:eastAsia="Arial" w:hAnsi="Arial"/>
          <w:sz w:val="19"/>
          <w:szCs w:val="19"/>
          <w:color w:val="auto"/>
        </w:rPr>
      </w:pPr>
    </w:p>
    <w:p>
      <w:pPr>
        <w:jc w:val="both"/>
        <w:ind w:right="20" w:firstLine="753"/>
        <w:spacing w:after="0" w:line="243" w:lineRule="auto"/>
        <w:tabs>
          <w:tab w:leader="none" w:pos="1427"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 xml:space="preserve">Administration. </w:t>
      </w:r>
      <w:r>
        <w:rPr>
          <w:rFonts w:ascii="Arial" w:cs="Arial" w:eastAsia="Arial" w:hAnsi="Arial"/>
          <w:sz w:val="22"/>
          <w:szCs w:val="22"/>
          <w:color w:val="auto"/>
        </w:rPr>
        <w:t>The Company shall have full power and authority to construe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 this Agreement, and any interpretation by the Company shall be binding on you and your representatives and shall be accorded the maximum deference permitted by law.</w:t>
      </w:r>
    </w:p>
    <w:p>
      <w:pPr>
        <w:spacing w:after="0" w:line="200" w:lineRule="exact"/>
        <w:rPr>
          <w:sz w:val="20"/>
          <w:szCs w:val="20"/>
          <w:color w:val="auto"/>
        </w:rPr>
      </w:pPr>
    </w:p>
    <w:p>
      <w:pPr>
        <w:spacing w:after="0" w:line="206"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[REMAINDER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323850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20"/>
          </w:cols>
          <w:pgMar w:left="1280" w:top="315" w:right="1299" w:bottom="1440" w:gutter="0" w:footer="0" w:header="0"/>
        </w:sectPr>
      </w:pPr>
    </w:p>
    <w:bookmarkStart w:id="174" w:name="page175"/>
    <w:bookmarkEnd w:id="174"/>
    <w:p>
      <w:pPr>
        <w:ind w:left="40"/>
        <w:spacing w:after="0"/>
        <w:rPr>
          <w:sz w:val="20"/>
          <w:szCs w:val="20"/>
          <w:color w:val="auto"/>
        </w:rPr>
      </w:pPr>
      <w:r>
        <w:rPr>
          <w:rFonts w:ascii="Arial" w:cs="Arial" w:eastAsia="Arial" w:hAnsi="Arial"/>
          <w:sz w:val="22"/>
          <w:szCs w:val="22"/>
          <w:color w:val="auto"/>
        </w:rPr>
        <w:t>Best,</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Douglas Braunstein</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Douglas Braunstein, Interim CEO</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9"/>
          <w:szCs w:val="19"/>
          <w:color w:val="auto"/>
        </w:rPr>
        <w:t>I confirm my receipt, understanding and agreement with the terms of this Agreement:</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color w:val="auto"/>
        </w:rPr>
        <w:t>/s/ John Reilly</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Employee Name (Printed):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John Reilly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Arial" w:cs="Arial" w:eastAsia="Arial" w:hAnsi="Arial"/>
          <w:sz w:val="22"/>
          <w:szCs w:val="22"/>
          <w:i w:val="1"/>
          <w:iCs w:val="1"/>
          <w:color w:val="auto"/>
        </w:rPr>
        <w:t>Signature Page to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191770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388" w:right="1440" w:bottom="1440" w:gutter="0" w:footer="0" w:header="0"/>
        </w:sectPr>
      </w:pPr>
    </w:p>
    <w:bookmarkStart w:id="175" w:name="page176"/>
    <w:bookmarkEnd w:id="175"/>
    <w:p>
      <w:pPr>
        <w:ind w:left="9380"/>
        <w:spacing w:after="0"/>
        <w:rPr>
          <w:sz w:val="20"/>
          <w:szCs w:val="20"/>
          <w:color w:val="auto"/>
        </w:rPr>
      </w:pPr>
      <w:r>
        <w:rPr>
          <w:rFonts w:ascii="Arial" w:cs="Arial" w:eastAsia="Arial" w:hAnsi="Arial"/>
          <w:sz w:val="18"/>
          <w:szCs w:val="18"/>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consent to the use of our report dated February 25, 2022 with respect to the consolidated financial statements of Talkspace, Inc. included in this Annual Report on Form 10-K for the year ended December 31, 2021 in connection with the Registration Statement on Form S-1 (File No. 333-257686) of Talkspace, Inc. and the incorporation by reference of such report in the Registration Statement on Form S-8 (File No. 333-259165) pertaining to the 2014 Stock Incentive Plan, 2021 Incentive Award Plan and 2021 Employee Stock Purchase Plan of Talkspace, Inc.</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Member of EY Global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Douglas Braunstein, certify that:</w:t>
      </w:r>
    </w:p>
    <w:p>
      <w:pPr>
        <w:spacing w:after="0" w:line="212" w:lineRule="exact"/>
        <w:rPr>
          <w:sz w:val="20"/>
          <w:szCs w:val="20"/>
          <w:color w:val="auto"/>
        </w:rPr>
      </w:pPr>
    </w:p>
    <w:p>
      <w:pPr>
        <w:ind w:left="520" w:hanging="512"/>
        <w:spacing w:after="0"/>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Talkspace, Inc.;</w:t>
      </w:r>
    </w:p>
    <w:p>
      <w:pPr>
        <w:spacing w:after="0" w:line="211" w:lineRule="exact"/>
        <w:rPr>
          <w:rFonts w:ascii="Arial" w:cs="Arial" w:eastAsia="Arial" w:hAnsi="Arial"/>
          <w:sz w:val="18"/>
          <w:szCs w:val="18"/>
          <w:color w:val="auto"/>
        </w:rPr>
      </w:pPr>
    </w:p>
    <w:p>
      <w:pPr>
        <w:jc w:val="both"/>
        <w:ind w:left="520" w:hanging="512"/>
        <w:spacing w:after="0" w:line="248" w:lineRule="auto"/>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hanging="512"/>
        <w:spacing w:after="0" w:line="291" w:lineRule="auto"/>
        <w:tabs>
          <w:tab w:leader="none" w:pos="5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hanging="512"/>
        <w:spacing w:after="0" w:line="248" w:lineRule="auto"/>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hanging="503"/>
        <w:spacing w:after="0" w:line="324" w:lineRule="auto"/>
        <w:tabs>
          <w:tab w:leader="none" w:pos="10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020" w:hanging="503"/>
        <w:spacing w:after="0" w:line="248" w:lineRule="auto"/>
        <w:tabs>
          <w:tab w:leader="none" w:pos="10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0" w:hanging="512"/>
        <w:spacing w:after="0" w:line="291" w:lineRule="auto"/>
        <w:tabs>
          <w:tab w:leader="none" w:pos="5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hanging="503"/>
        <w:spacing w:after="0" w:line="291" w:lineRule="auto"/>
        <w:tabs>
          <w:tab w:leader="none" w:pos="102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hanging="503"/>
        <w:spacing w:after="0" w:line="261" w:lineRule="auto"/>
        <w:tabs>
          <w:tab w:leader="none" w:pos="10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February 25, 2022</w:t>
            </w:r>
          </w:p>
        </w:tc>
        <w:tc>
          <w:tcPr>
            <w:tcW w:w="2560" w:type="dxa"/>
            <w:vAlign w:val="bottom"/>
          </w:tcPr>
          <w:p>
            <w:pPr>
              <w:ind w:left="18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Douglas Braunstein</w:t>
            </w:r>
          </w:p>
        </w:tc>
      </w:tr>
      <w:tr>
        <w:trPr>
          <w:trHeight w:val="155"/>
        </w:trPr>
        <w:tc>
          <w:tcPr>
            <w:tcW w:w="36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080" w:type="dxa"/>
            <w:vAlign w:val="bottom"/>
          </w:tcPr>
          <w:p>
            <w:pPr>
              <w:ind w:left="20"/>
              <w:spacing w:after="0" w:line="154" w:lineRule="exact"/>
              <w:rPr>
                <w:sz w:val="20"/>
                <w:szCs w:val="20"/>
                <w:color w:val="auto"/>
              </w:rPr>
            </w:pPr>
            <w:r>
              <w:rPr>
                <w:rFonts w:ascii="Arial" w:cs="Arial" w:eastAsia="Arial" w:hAnsi="Arial"/>
                <w:sz w:val="17"/>
                <w:szCs w:val="17"/>
                <w:color w:val="auto"/>
              </w:rPr>
              <w:t>Douglas Braunstein</w:t>
            </w:r>
          </w:p>
        </w:tc>
      </w:tr>
      <w:tr>
        <w:trPr>
          <w:trHeight w:val="230"/>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Interim Chief Executive Officer</w:t>
            </w:r>
          </w:p>
        </w:tc>
      </w:tr>
      <w:tr>
        <w:trPr>
          <w:trHeight w:val="506"/>
        </w:trPr>
        <w:tc>
          <w:tcPr>
            <w:tcW w:w="3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Jennifer Fulk, certify that:</w:t>
      </w:r>
    </w:p>
    <w:p>
      <w:pPr>
        <w:spacing w:after="0" w:line="212" w:lineRule="exact"/>
        <w:rPr>
          <w:sz w:val="20"/>
          <w:szCs w:val="20"/>
          <w:color w:val="auto"/>
        </w:rPr>
      </w:pPr>
    </w:p>
    <w:p>
      <w:pPr>
        <w:ind w:left="520" w:hanging="512"/>
        <w:spacing w:after="0"/>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Talkspace, Inc.;</w:t>
      </w:r>
    </w:p>
    <w:p>
      <w:pPr>
        <w:spacing w:after="0" w:line="211" w:lineRule="exact"/>
        <w:rPr>
          <w:rFonts w:ascii="Arial" w:cs="Arial" w:eastAsia="Arial" w:hAnsi="Arial"/>
          <w:sz w:val="18"/>
          <w:szCs w:val="18"/>
          <w:color w:val="auto"/>
        </w:rPr>
      </w:pPr>
    </w:p>
    <w:p>
      <w:pPr>
        <w:jc w:val="both"/>
        <w:ind w:left="520" w:hanging="512"/>
        <w:spacing w:after="0" w:line="248" w:lineRule="auto"/>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hanging="512"/>
        <w:spacing w:after="0" w:line="291" w:lineRule="auto"/>
        <w:tabs>
          <w:tab w:leader="none" w:pos="5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hanging="512"/>
        <w:spacing w:after="0" w:line="248" w:lineRule="auto"/>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hanging="503"/>
        <w:spacing w:after="0" w:line="324" w:lineRule="auto"/>
        <w:tabs>
          <w:tab w:leader="none" w:pos="10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020" w:hanging="503"/>
        <w:spacing w:after="0" w:line="248" w:lineRule="auto"/>
        <w:tabs>
          <w:tab w:leader="none" w:pos="10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0" w:hanging="512"/>
        <w:spacing w:after="0" w:line="291" w:lineRule="auto"/>
        <w:tabs>
          <w:tab w:leader="none" w:pos="5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hanging="503"/>
        <w:spacing w:after="0" w:line="291" w:lineRule="auto"/>
        <w:tabs>
          <w:tab w:leader="none" w:pos="102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hanging="503"/>
        <w:spacing w:after="0" w:line="261" w:lineRule="auto"/>
        <w:tabs>
          <w:tab w:leader="none" w:pos="10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February 25, 2022</w:t>
            </w:r>
          </w:p>
        </w:tc>
        <w:tc>
          <w:tcPr>
            <w:tcW w:w="2560" w:type="dxa"/>
            <w:vAlign w:val="bottom"/>
          </w:tcPr>
          <w:p>
            <w:pPr>
              <w:ind w:left="18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Fulk</w:t>
            </w:r>
          </w:p>
        </w:tc>
      </w:tr>
      <w:tr>
        <w:trPr>
          <w:trHeight w:val="155"/>
        </w:trPr>
        <w:tc>
          <w:tcPr>
            <w:tcW w:w="36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080" w:type="dxa"/>
            <w:vAlign w:val="bottom"/>
          </w:tcPr>
          <w:p>
            <w:pPr>
              <w:spacing w:after="0" w:line="154" w:lineRule="exact"/>
              <w:rPr>
                <w:sz w:val="20"/>
                <w:szCs w:val="20"/>
                <w:color w:val="auto"/>
              </w:rPr>
            </w:pPr>
            <w:r>
              <w:rPr>
                <w:rFonts w:ascii="Arial" w:cs="Arial" w:eastAsia="Arial" w:hAnsi="Arial"/>
                <w:sz w:val="17"/>
                <w:szCs w:val="17"/>
                <w:color w:val="auto"/>
              </w:rPr>
              <w:t>Jennifer Fulk</w:t>
            </w:r>
          </w:p>
        </w:tc>
      </w:tr>
      <w:tr>
        <w:trPr>
          <w:trHeight w:val="230"/>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04"/>
        </w:trPr>
        <w:tc>
          <w:tcPr>
            <w:tcW w:w="3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connection with the Annual Report on Form 10-K of Talkspace, Inc. (the “Company”) for the year ended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900" w:hanging="359"/>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479"/>
        <w:spacing w:after="0" w:line="261" w:lineRule="auto"/>
        <w:tabs>
          <w:tab w:leader="none" w:pos="8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ind w:left="20"/>
              <w:spacing w:after="0"/>
              <w:rPr>
                <w:sz w:val="20"/>
                <w:szCs w:val="20"/>
                <w:color w:val="auto"/>
              </w:rPr>
            </w:pPr>
            <w:r>
              <w:rPr>
                <w:rFonts w:ascii="Arial" w:cs="Arial" w:eastAsia="Arial" w:hAnsi="Arial"/>
                <w:sz w:val="18"/>
                <w:szCs w:val="18"/>
                <w:color w:val="auto"/>
              </w:rPr>
              <w:t>Date: February 25, 2022</w:t>
            </w:r>
          </w:p>
        </w:tc>
        <w:tc>
          <w:tcPr>
            <w:tcW w:w="2600" w:type="dxa"/>
            <w:vAlign w:val="bottom"/>
          </w:tcPr>
          <w:p>
            <w:pPr>
              <w:ind w:left="18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Braunstein</w:t>
            </w:r>
          </w:p>
        </w:tc>
      </w:tr>
      <w:tr>
        <w:trPr>
          <w:trHeight w:val="155"/>
        </w:trPr>
        <w:tc>
          <w:tcPr>
            <w:tcW w:w="35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080" w:type="dxa"/>
            <w:vAlign w:val="bottom"/>
          </w:tcPr>
          <w:p>
            <w:pPr>
              <w:spacing w:after="0" w:line="154" w:lineRule="exact"/>
              <w:rPr>
                <w:sz w:val="20"/>
                <w:szCs w:val="20"/>
                <w:color w:val="auto"/>
              </w:rPr>
            </w:pPr>
            <w:r>
              <w:rPr>
                <w:rFonts w:ascii="Arial" w:cs="Arial" w:eastAsia="Arial" w:hAnsi="Arial"/>
                <w:sz w:val="17"/>
                <w:szCs w:val="17"/>
                <w:color w:val="auto"/>
              </w:rPr>
              <w:t>Douglas Braunstein</w:t>
            </w:r>
          </w:p>
        </w:tc>
      </w:tr>
      <w:tr>
        <w:trPr>
          <w:trHeight w:val="230"/>
        </w:trPr>
        <w:tc>
          <w:tcPr>
            <w:tcW w:w="3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Interim Chief Executive Officer</w:t>
            </w:r>
          </w:p>
        </w:tc>
      </w:tr>
      <w:tr>
        <w:trPr>
          <w:trHeight w:val="304"/>
        </w:trPr>
        <w:tc>
          <w:tcPr>
            <w:tcW w:w="35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Annual Report on Form 10-K of Talkspace, Inc. (the “Company”) for the year ended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900" w:hanging="359"/>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479"/>
        <w:spacing w:after="0" w:line="261" w:lineRule="auto"/>
        <w:tabs>
          <w:tab w:leader="none" w:pos="8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ind w:left="20"/>
              <w:spacing w:after="0"/>
              <w:rPr>
                <w:sz w:val="20"/>
                <w:szCs w:val="20"/>
                <w:color w:val="auto"/>
              </w:rPr>
            </w:pPr>
            <w:r>
              <w:rPr>
                <w:rFonts w:ascii="Arial" w:cs="Arial" w:eastAsia="Arial" w:hAnsi="Arial"/>
                <w:sz w:val="18"/>
                <w:szCs w:val="18"/>
                <w:color w:val="auto"/>
              </w:rPr>
              <w:t>Date: February 25, 2022</w:t>
            </w:r>
          </w:p>
        </w:tc>
        <w:tc>
          <w:tcPr>
            <w:tcW w:w="2580" w:type="dxa"/>
            <w:vAlign w:val="bottom"/>
          </w:tcPr>
          <w:p>
            <w:pPr>
              <w:ind w:left="18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Fulk</w:t>
            </w:r>
          </w:p>
        </w:tc>
      </w:tr>
      <w:tr>
        <w:trPr>
          <w:trHeight w:val="155"/>
        </w:trPr>
        <w:tc>
          <w:tcPr>
            <w:tcW w:w="35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080" w:type="dxa"/>
            <w:vAlign w:val="bottom"/>
          </w:tcPr>
          <w:p>
            <w:pPr>
              <w:ind w:left="20"/>
              <w:spacing w:after="0" w:line="154" w:lineRule="exact"/>
              <w:rPr>
                <w:sz w:val="20"/>
                <w:szCs w:val="20"/>
                <w:color w:val="auto"/>
              </w:rPr>
            </w:pPr>
            <w:r>
              <w:rPr>
                <w:rFonts w:ascii="Arial" w:cs="Arial" w:eastAsia="Arial" w:hAnsi="Arial"/>
                <w:sz w:val="17"/>
                <w:szCs w:val="17"/>
                <w:color w:val="auto"/>
              </w:rPr>
              <w:t>Jennifer Fulk</w:t>
            </w:r>
          </w:p>
        </w:tc>
      </w:tr>
      <w:tr>
        <w:trPr>
          <w:trHeight w:val="230"/>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20"/>
        </w:trPr>
        <w:tc>
          <w:tcPr>
            <w:tcW w:w="35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1."/>
      <w:numFmt w:val="decimal"/>
      <w:start w:val="19"/>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1)"/>
      <w:numFmt w:val="decimal"/>
      <w:start w:val="1"/>
    </w:lvl>
  </w:abstractNum>
  <w:abstractNum w:abstractNumId="29">
    <w:nsid w:val="BF72B14"/>
    <w:multiLevelType w:val="hybridMultilevel"/>
    <w:lvl w:ilvl="0">
      <w:lvlJc w:val="left"/>
      <w:lvlText w:val="(%1)"/>
      <w:numFmt w:val="decimal"/>
      <w:start w:val="1"/>
    </w:lvl>
  </w:abstractNum>
  <w:abstractNum w:abstractNumId="30">
    <w:nsid w:val="11447B73"/>
    <w:multiLevelType w:val="hybridMultilevel"/>
    <w:lvl w:ilvl="0">
      <w:lvlJc w:val="left"/>
      <w:lvlText w:val="o"/>
      <w:numFmt w:val="bullet"/>
      <w:start w:val="1"/>
    </w:lvl>
  </w:abstractNum>
  <w:abstractNum w:abstractNumId="31">
    <w:nsid w:val="42963E5A"/>
    <w:multiLevelType w:val="hybridMultilevel"/>
    <w:lvl w:ilvl="0">
      <w:lvlJc w:val="left"/>
      <w:lvlText w:val="(%1)"/>
      <w:numFmt w:val="decimal"/>
      <w:start w:val="1"/>
    </w:lvl>
  </w:abstractNum>
  <w:abstractNum w:abstractNumId="32">
    <w:nsid w:val="A0382C5"/>
    <w:multiLevelType w:val="hybridMultilevel"/>
    <w:lvl w:ilvl="0">
      <w:lvlJc w:val="left"/>
      <w:lvlText w:val="(%1)"/>
      <w:numFmt w:val="decimal"/>
      <w:start w:val="1"/>
    </w:lvl>
  </w:abstractNum>
  <w:abstractNum w:abstractNumId="33">
    <w:nsid w:val="8F2B15E"/>
    <w:multiLevelType w:val="hybridMultilevel"/>
    <w:lvl w:ilvl="0">
      <w:lvlJc w:val="left"/>
      <w:lvlText w:val="(%1)"/>
      <w:numFmt w:val="decimal"/>
      <w:start w:val="1"/>
    </w:lvl>
  </w:abstractNum>
  <w:abstractNum w:abstractNumId="34">
    <w:nsid w:val="1A32234B"/>
    <w:multiLevelType w:val="hybridMultilevel"/>
    <w:lvl w:ilvl="0">
      <w:lvlJc w:val="left"/>
      <w:lvlText w:val="o"/>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1)"/>
      <w:numFmt w:val="lowerRoman"/>
      <w:start w:val="3"/>
    </w:lvl>
  </w:abstractNum>
  <w:abstractNum w:abstractNumId="37">
    <w:nsid w:val="4962813B"/>
    <w:multiLevelType w:val="hybridMultilevel"/>
    <w:lvl w:ilvl="0">
      <w:lvlJc w:val="left"/>
      <w:lvlText w:val="(%1)"/>
      <w:numFmt w:val="decimal"/>
      <w:start w:val="1"/>
    </w:lvl>
  </w:abstractNum>
  <w:abstractNum w:abstractNumId="38">
    <w:nsid w:val="60B6DF70"/>
    <w:multiLevelType w:val="hybridMultilevel"/>
    <w:lvl w:ilvl="0">
      <w:lvlJc w:val="left"/>
      <w:lvlText w:val="(%1)"/>
      <w:numFmt w:val="decimal"/>
      <w:start w:val="1"/>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1)"/>
      <w:numFmt w:val="decimal"/>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1)"/>
      <w:numFmt w:val="lowerRoman"/>
      <w:start w:val="5"/>
    </w:lvl>
  </w:abstractNum>
  <w:abstractNum w:abstractNumId="44">
    <w:nsid w:val="100F59DC"/>
    <w:multiLevelType w:val="hybridMultilevel"/>
    <w:lvl w:ilvl="0">
      <w:lvlJc w:val="left"/>
      <w:lvlText w:val="(%1)"/>
      <w:numFmt w:val="lowerRoman"/>
      <w:start w:val="8"/>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1)"/>
      <w:numFmt w:val="decimal"/>
      <w:start w:val="1"/>
    </w:lvl>
  </w:abstractNum>
  <w:abstractNum w:abstractNumId="53">
    <w:nsid w:val="14E17E33"/>
    <w:multiLevelType w:val="hybridMultilevel"/>
    <w:lvl w:ilvl="0">
      <w:lvlJc w:val="left"/>
      <w:lvlText w:val="(%1)"/>
      <w:numFmt w:val="decimal"/>
      <w:start w:val="7"/>
    </w:lvl>
  </w:abstractNum>
  <w:abstractNum w:abstractNumId="54">
    <w:nsid w:val="3222E7CD"/>
    <w:multiLevelType w:val="hybridMultilevel"/>
    <w:lvl w:ilvl="0">
      <w:lvlJc w:val="left"/>
      <w:lvlText w:val="(%1)"/>
      <w:numFmt w:val="decimal"/>
      <w:start w:val="1"/>
    </w:lvl>
  </w:abstractNum>
  <w:abstractNum w:abstractNumId="55">
    <w:nsid w:val="74DE0EE3"/>
    <w:multiLevelType w:val="hybridMultilevel"/>
    <w:lvl w:ilvl="0">
      <w:lvlJc w:val="left"/>
      <w:lvlText w:val="(%1)"/>
      <w:numFmt w:val="decimal"/>
      <w:start w:val="11"/>
    </w:lvl>
  </w:abstractNum>
  <w:abstractNum w:abstractNumId="56">
    <w:nsid w:val="68EBC550"/>
    <w:multiLevelType w:val="hybridMultilevel"/>
    <w:lvl w:ilvl="0">
      <w:lvlJc w:val="left"/>
      <w:lvlText w:val="(%1)"/>
      <w:numFmt w:val="decimal"/>
      <w:start w:val="1"/>
    </w:lvl>
  </w:abstractNum>
  <w:abstractNum w:abstractNumId="57">
    <w:nsid w:val="2DF6D648"/>
    <w:multiLevelType w:val="hybridMultilevel"/>
    <w:lvl w:ilvl="0">
      <w:lvlJc w:val="left"/>
      <w:lvlText w:val="(%1)"/>
      <w:numFmt w:val="lowerRoman"/>
      <w:start w:val="3"/>
    </w:lvl>
  </w:abstractNum>
  <w:abstractNum w:abstractNumId="58">
    <w:nsid w:val="46B7D447"/>
    <w:multiLevelType w:val="hybridMultilevel"/>
    <w:lvl w:ilvl="0">
      <w:lvlJc w:val="left"/>
      <w:lvlText w:val="(%1)"/>
      <w:numFmt w:val="decimal"/>
      <w:start w:val="1"/>
    </w:lvl>
  </w:abstractNum>
  <w:abstractNum w:abstractNumId="59">
    <w:nsid w:val="4A2AC315"/>
    <w:multiLevelType w:val="hybridMultilevel"/>
    <w:lvl w:ilvl="0">
      <w:lvlJc w:val="left"/>
      <w:lvlText w:val="(%1)"/>
      <w:numFmt w:val="decimal"/>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1)"/>
      <w:numFmt w:val="decimal"/>
      <w:start w:val="1"/>
    </w:lvl>
  </w:abstractNum>
  <w:abstractNum w:abstractNumId="66">
    <w:nsid w:val="7F01579B"/>
    <w:multiLevelType w:val="hybridMultilevel"/>
    <w:lvl w:ilvl="0">
      <w:lvlJc w:val="left"/>
      <w:lvlText w:val="(%1)"/>
      <w:numFmt w:val="decimal"/>
      <w:start w:val="16"/>
    </w:lvl>
  </w:abstractNum>
  <w:abstractNum w:abstractNumId="67">
    <w:nsid w:val="49DA307D"/>
    <w:multiLevelType w:val="hybridMultilevel"/>
    <w:lvl w:ilvl="0">
      <w:lvlJc w:val="left"/>
      <w:lvlText w:val="(%1)"/>
      <w:numFmt w:val="decimal"/>
      <w:start w:val="1"/>
    </w:lvl>
  </w:abstractNum>
  <w:abstractNum w:abstractNumId="68">
    <w:nsid w:val="7055A5F5"/>
    <w:multiLevelType w:val="hybridMultilevel"/>
    <w:lvl w:ilvl="0">
      <w:lvlJc w:val="left"/>
      <w:lvlText w:val="(%1)"/>
      <w:numFmt w:val="decimal"/>
      <w:start w:val="1"/>
    </w:lvl>
  </w:abstractNum>
  <w:abstractNum w:abstractNumId="69">
    <w:nsid w:val="5FB8370B"/>
    <w:multiLevelType w:val="hybridMultilevel"/>
    <w:lvl w:ilvl="0">
      <w:lvlJc w:val="left"/>
      <w:lvlText w:val="%1"/>
      <w:numFmt w:val="lowerLetter"/>
      <w:start w:val="1"/>
    </w:lvl>
    <w:lvl w:ilvl="1">
      <w:lvlJc w:val="left"/>
      <w:lvlText w:val="(%2)"/>
      <w:numFmt w:val="decimal"/>
      <w:start w:val="1"/>
    </w:lvl>
  </w:abstractNum>
  <w:abstractNum w:abstractNumId="70">
    <w:nsid w:val="50801EE1"/>
    <w:multiLevelType w:val="hybridMultilevel"/>
    <w:lvl w:ilvl="0">
      <w:lvlJc w:val="left"/>
      <w:lvlText w:val="(%1)"/>
      <w:numFmt w:val="lowerLetter"/>
      <w:start w:val="2"/>
    </w:lvl>
    <w:lvl w:ilvl="1">
      <w:lvlJc w:val="left"/>
      <w:lvlText w:val="%2"/>
      <w:numFmt w:val="decimal"/>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1."/>
      <w:numFmt w:val="decimal"/>
      <w:start w:val="1"/>
    </w:lvl>
  </w:abstractNum>
  <w:abstractNum w:abstractNumId="75">
    <w:nsid w:val="6FC75AF8"/>
    <w:multiLevelType w:val="hybridMultilevel"/>
    <w:lvl w:ilvl="0">
      <w:lvlJc w:val="left"/>
      <w:lvlText w:val="%1."/>
      <w:numFmt w:val="decimal"/>
      <w:start w:val="2"/>
    </w:lvl>
    <w:lvl w:ilvl="1">
      <w:lvlJc w:val="left"/>
      <w:lvlText w:val="%2."/>
      <w:numFmt w:val="lowerLetter"/>
      <w:start w:val="1"/>
    </w:lvl>
  </w:abstractNum>
  <w:abstractNum w:abstractNumId="76">
    <w:nsid w:val="6A5F7029"/>
    <w:multiLevelType w:val="hybridMultilevel"/>
    <w:lvl w:ilvl="0">
      <w:lvlJc w:val="left"/>
      <w:lvlText w:val="%1"/>
      <w:numFmt w:val="decimal"/>
      <w:start w:val="1"/>
    </w:lvl>
    <w:lvl w:ilvl="1">
      <w:lvlJc w:val="left"/>
      <w:lvlText w:val="%2."/>
      <w:numFmt w:val="lowerLetter"/>
      <w:start w:val="3"/>
    </w:lvl>
  </w:abstractNum>
  <w:abstractNum w:abstractNumId="77">
    <w:nsid w:val="7D5E18F8"/>
    <w:multiLevelType w:val="hybridMultilevel"/>
    <w:lvl w:ilvl="0">
      <w:lvlJc w:val="left"/>
      <w:lvlText w:val="%1."/>
      <w:numFmt w:val="decimal"/>
      <w:start w:val="4"/>
    </w:lvl>
    <w:lvl w:ilvl="1">
      <w:lvlJc w:val="left"/>
      <w:lvlText w:val="%2"/>
      <w:numFmt w:val="lowerLetter"/>
      <w:start w:val="1"/>
    </w:lvl>
  </w:abstractNum>
  <w:abstractNum w:abstractNumId="78">
    <w:nsid w:val="5F3534A4"/>
    <w:multiLevelType w:val="hybridMultilevel"/>
    <w:lvl w:ilvl="0">
      <w:lvlJc w:val="left"/>
      <w:lvlText w:val="%1."/>
      <w:numFmt w:val="decimal"/>
      <w:start w:val="7"/>
    </w:lvl>
    <w:lvl w:ilvl="1">
      <w:lvlJc w:val="left"/>
      <w:lvlText w:val="%2."/>
      <w:numFmt w:val="lowerLetter"/>
      <w:start w:val="1"/>
    </w:lvl>
  </w:abstractNum>
  <w:abstractNum w:abstractNumId="79">
    <w:nsid w:val="73A1821B"/>
    <w:multiLevelType w:val="hybridMultilevel"/>
    <w:lvl w:ilvl="0">
      <w:lvlJc w:val="left"/>
      <w:lvlText w:val="%1."/>
      <w:numFmt w:val="decimal"/>
      <w:start w:val="1"/>
    </w:lvl>
  </w:abstractNum>
  <w:abstractNum w:abstractNumId="80">
    <w:nsid w:val="7DE67713"/>
    <w:multiLevelType w:val="hybridMultilevel"/>
    <w:lvl w:ilvl="0">
      <w:lvlJc w:val="left"/>
      <w:lvlText w:val="(%1)"/>
      <w:numFmt w:val="lowerRoman"/>
      <w:start w:val="1"/>
    </w:lvl>
  </w:abstractNum>
  <w:abstractNum w:abstractNumId="81">
    <w:nsid w:val="555C55B5"/>
    <w:multiLevelType w:val="hybridMultilevel"/>
    <w:lvl w:ilvl="0">
      <w:lvlJc w:val="left"/>
      <w:lvlText w:val="%1."/>
      <w:numFmt w:val="decimal"/>
      <w:start w:val="2"/>
    </w:lvl>
  </w:abstractNum>
  <w:abstractNum w:abstractNumId="82">
    <w:nsid w:val="3FA62ACA"/>
    <w:multiLevelType w:val="hybridMultilevel"/>
    <w:lvl w:ilvl="0">
      <w:lvlJc w:val="left"/>
      <w:lvlText w:val="%1."/>
      <w:numFmt w:val="decimal"/>
      <w:start w:val="3"/>
    </w:lvl>
  </w:abstractNum>
  <w:abstractNum w:abstractNumId="83">
    <w:nsid w:val="14FCE74E"/>
    <w:multiLevelType w:val="hybridMultilevel"/>
    <w:lvl w:ilvl="0">
      <w:lvlJc w:val="left"/>
      <w:lvlText w:val="%1."/>
      <w:numFmt w:val="decimal"/>
      <w:start w:val="4"/>
    </w:lvl>
  </w:abstractNum>
  <w:abstractNum w:abstractNumId="84">
    <w:nsid w:val="6A3DD3E8"/>
    <w:multiLevelType w:val="hybridMultilevel"/>
    <w:lvl w:ilvl="0">
      <w:lvlJc w:val="left"/>
      <w:lvlText w:val="%1."/>
      <w:numFmt w:val="decimal"/>
      <w:start w:val="5"/>
    </w:lvl>
  </w:abstractNum>
  <w:abstractNum w:abstractNumId="85">
    <w:nsid w:val="71C91298"/>
    <w:multiLevelType w:val="hybridMultilevel"/>
    <w:lvl w:ilvl="0">
      <w:lvlJc w:val="left"/>
      <w:lvlText w:val="%1."/>
      <w:numFmt w:val="decimal"/>
      <w:start w:val="6"/>
    </w:lvl>
  </w:abstractNum>
  <w:abstractNum w:abstractNumId="86">
    <w:nsid w:val="9DAF632"/>
    <w:multiLevelType w:val="hybridMultilevel"/>
    <w:lvl w:ilvl="0">
      <w:lvlJc w:val="left"/>
      <w:lvlText w:val="%1."/>
      <w:numFmt w:val="decimal"/>
      <w:start w:val="1"/>
    </w:lvl>
  </w:abstractNum>
  <w:abstractNum w:abstractNumId="87">
    <w:nsid w:val="53299938"/>
    <w:multiLevelType w:val="hybridMultilevel"/>
    <w:lvl w:ilvl="0">
      <w:lvlJc w:val="left"/>
      <w:lvlText w:val="%1."/>
      <w:numFmt w:val="decimal"/>
      <w:start w:val="2"/>
    </w:lvl>
    <w:lvl w:ilvl="1">
      <w:lvlJc w:val="left"/>
      <w:lvlText w:val="%2."/>
      <w:numFmt w:val="lowerLetter"/>
      <w:start w:val="1"/>
    </w:lvl>
  </w:abstractNum>
  <w:abstractNum w:abstractNumId="88">
    <w:nsid w:val="1FBFE8E0"/>
    <w:multiLevelType w:val="hybridMultilevel"/>
    <w:lvl w:ilvl="0">
      <w:lvlJc w:val="left"/>
      <w:lvlText w:val="%1"/>
      <w:numFmt w:val="decimal"/>
      <w:start w:val="1"/>
    </w:lvl>
    <w:lvl w:ilvl="1">
      <w:lvlJc w:val="left"/>
      <w:lvlText w:val="%2."/>
      <w:numFmt w:val="lowerLetter"/>
      <w:start w:val="3"/>
    </w:lvl>
  </w:abstractNum>
  <w:abstractNum w:abstractNumId="89">
    <w:nsid w:val="5092CA79"/>
    <w:multiLevelType w:val="hybridMultilevel"/>
    <w:lvl w:ilvl="0">
      <w:lvlJc w:val="left"/>
      <w:lvlText w:val="%1."/>
      <w:numFmt w:val="decimal"/>
      <w:start w:val="4"/>
    </w:lvl>
    <w:lvl w:ilvl="1">
      <w:lvlJc w:val="left"/>
      <w:lvlText w:val="%2"/>
      <w:numFmt w:val="lowerLetter"/>
      <w:start w:val="1"/>
    </w:lvl>
  </w:abstractNum>
  <w:abstractNum w:abstractNumId="90">
    <w:nsid w:val="1D545C4D"/>
    <w:multiLevelType w:val="hybridMultilevel"/>
    <w:lvl w:ilvl="0">
      <w:lvlJc w:val="left"/>
      <w:lvlText w:val="%1."/>
      <w:numFmt w:val="decimal"/>
      <w:start w:val="7"/>
    </w:lvl>
    <w:lvl w:ilvl="1">
      <w:lvlJc w:val="left"/>
      <w:lvlText w:val="%2."/>
      <w:numFmt w:val="lowerLetter"/>
      <w:start w:val="1"/>
    </w:lvl>
  </w:abstractNum>
  <w:abstractNum w:abstractNumId="91">
    <w:nsid w:val="59ADEA3D"/>
    <w:multiLevelType w:val="hybridMultilevel"/>
    <w:lvl w:ilvl="0">
      <w:lvlJc w:val="left"/>
      <w:lvlText w:val="%1."/>
      <w:numFmt w:val="decimal"/>
      <w:start w:val="1"/>
    </w:lvl>
  </w:abstractNum>
  <w:abstractNum w:abstractNumId="92">
    <w:nsid w:val="288F1A34"/>
    <w:multiLevelType w:val="hybridMultilevel"/>
    <w:lvl w:ilvl="0">
      <w:lvlJc w:val="left"/>
      <w:lvlText w:val="(%1)"/>
      <w:numFmt w:val="lowerRoman"/>
      <w:start w:val="1"/>
    </w:lvl>
  </w:abstractNum>
  <w:abstractNum w:abstractNumId="93">
    <w:nsid w:val="2A155DBC"/>
    <w:multiLevelType w:val="hybridMultilevel"/>
    <w:lvl w:ilvl="0">
      <w:lvlJc w:val="left"/>
      <w:lvlText w:val="%1."/>
      <w:numFmt w:val="decimal"/>
      <w:start w:val="2"/>
    </w:lvl>
  </w:abstractNum>
  <w:abstractNum w:abstractNumId="94">
    <w:nsid w:val="1D9F6E5F"/>
    <w:multiLevelType w:val="hybridMultilevel"/>
    <w:lvl w:ilvl="0">
      <w:lvlJc w:val="left"/>
      <w:lvlText w:val="%1."/>
      <w:numFmt w:val="decimal"/>
      <w:start w:val="3"/>
    </w:lvl>
  </w:abstractNum>
  <w:abstractNum w:abstractNumId="95">
    <w:nsid w:val="97E1B4E"/>
    <w:multiLevelType w:val="hybridMultilevel"/>
    <w:lvl w:ilvl="0">
      <w:lvlJc w:val="left"/>
      <w:lvlText w:val="%1."/>
      <w:numFmt w:val="decimal"/>
      <w:start w:val="4"/>
    </w:lvl>
  </w:abstractNum>
  <w:abstractNum w:abstractNumId="96">
    <w:nsid w:val="51088277"/>
    <w:multiLevelType w:val="hybridMultilevel"/>
    <w:lvl w:ilvl="0">
      <w:lvlJc w:val="left"/>
      <w:lvlText w:val="%1."/>
      <w:numFmt w:val="decimal"/>
      <w:start w:val="5"/>
    </w:lvl>
  </w:abstractNum>
  <w:abstractNum w:abstractNumId="97">
    <w:nsid w:val="1CA0C5FA"/>
    <w:multiLevelType w:val="hybridMultilevel"/>
    <w:lvl w:ilvl="0">
      <w:lvlJc w:val="left"/>
      <w:lvlText w:val="%1."/>
      <w:numFmt w:val="decimal"/>
      <w:start w:val="6"/>
    </w:lvl>
  </w:abstractNum>
  <w:abstractNum w:abstractNumId="98">
    <w:nsid w:val="53584BCB"/>
    <w:multiLevelType w:val="hybridMultilevel"/>
    <w:lvl w:ilvl="0">
      <w:lvlJc w:val="left"/>
      <w:lvlText w:val="%1."/>
      <w:numFmt w:val="decimal"/>
      <w:start w:val="1"/>
    </w:lvl>
  </w:abstractNum>
  <w:abstractNum w:abstractNumId="99">
    <w:nsid w:val="415E286C"/>
    <w:multiLevelType w:val="hybridMultilevel"/>
    <w:lvl w:ilvl="0">
      <w:lvlJc w:val="left"/>
      <w:lvlText w:val="%1."/>
      <w:numFmt w:val="decimal"/>
      <w:start w:val="2"/>
    </w:lvl>
    <w:lvl w:ilvl="1">
      <w:lvlJc w:val="left"/>
      <w:lvlText w:val="%2."/>
      <w:numFmt w:val="lowerLetter"/>
      <w:start w:val="1"/>
    </w:lvl>
  </w:abstractNum>
  <w:abstractNum w:abstractNumId="100">
    <w:nsid w:val="7C58FD05"/>
    <w:multiLevelType w:val="hybridMultilevel"/>
    <w:lvl w:ilvl="0">
      <w:lvlJc w:val="left"/>
      <w:lvlText w:val="%1"/>
      <w:numFmt w:val="decimal"/>
      <w:start w:val="1"/>
    </w:lvl>
    <w:lvl w:ilvl="1">
      <w:lvlJc w:val="left"/>
      <w:lvlText w:val="%2."/>
      <w:numFmt w:val="lowerLetter"/>
      <w:start w:val="3"/>
    </w:lvl>
  </w:abstractNum>
  <w:abstractNum w:abstractNumId="101">
    <w:nsid w:val="23D86AAC"/>
    <w:multiLevelType w:val="hybridMultilevel"/>
    <w:lvl w:ilvl="0">
      <w:lvlJc w:val="left"/>
      <w:lvlText w:val="%1."/>
      <w:numFmt w:val="decimal"/>
      <w:start w:val="4"/>
    </w:lvl>
    <w:lvl w:ilvl="1">
      <w:lvlJc w:val="left"/>
      <w:lvlText w:val="%2"/>
      <w:numFmt w:val="lowerLetter"/>
      <w:start w:val="1"/>
    </w:lvl>
  </w:abstractNum>
  <w:abstractNum w:abstractNumId="102">
    <w:nsid w:val="45E6D486"/>
    <w:multiLevelType w:val="hybridMultilevel"/>
    <w:lvl w:ilvl="0">
      <w:lvlJc w:val="left"/>
      <w:lvlText w:val="%1."/>
      <w:numFmt w:val="decimal"/>
      <w:start w:val="7"/>
    </w:lvl>
    <w:lvl w:ilvl="1">
      <w:lvlJc w:val="left"/>
      <w:lvlText w:val="%2."/>
      <w:numFmt w:val="lowerLetter"/>
      <w:start w:val="1"/>
    </w:lvl>
  </w:abstractNum>
  <w:abstractNum w:abstractNumId="103">
    <w:nsid w:val="5C10FE21"/>
    <w:multiLevelType w:val="hybridMultilevel"/>
    <w:lvl w:ilvl="0">
      <w:lvlJc w:val="left"/>
      <w:lvlText w:val="%1."/>
      <w:numFmt w:val="decimal"/>
      <w:start w:val="1"/>
    </w:lvl>
  </w:abstractNum>
  <w:abstractNum w:abstractNumId="104">
    <w:nsid w:val="E7FFA2B"/>
    <w:multiLevelType w:val="hybridMultilevel"/>
    <w:lvl w:ilvl="0">
      <w:lvlJc w:val="left"/>
      <w:lvlText w:val="(%1)"/>
      <w:numFmt w:val="lowerRoman"/>
      <w:start w:val="1"/>
    </w:lvl>
  </w:abstractNum>
  <w:abstractNum w:abstractNumId="105">
    <w:nsid w:val="3C5991AA"/>
    <w:multiLevelType w:val="hybridMultilevel"/>
    <w:lvl w:ilvl="0">
      <w:lvlJc w:val="left"/>
      <w:lvlText w:val="%1."/>
      <w:numFmt w:val="decimal"/>
      <w:start w:val="2"/>
    </w:lvl>
  </w:abstractNum>
  <w:abstractNum w:abstractNumId="106">
    <w:nsid w:val="4BD8591A"/>
    <w:multiLevelType w:val="hybridMultilevel"/>
    <w:lvl w:ilvl="0">
      <w:lvlJc w:val="left"/>
      <w:lvlText w:val="%1."/>
      <w:numFmt w:val="decimal"/>
      <w:start w:val="3"/>
    </w:lvl>
  </w:abstractNum>
  <w:abstractNum w:abstractNumId="107">
    <w:nsid w:val="78DF6A55"/>
    <w:multiLevelType w:val="hybridMultilevel"/>
    <w:lvl w:ilvl="0">
      <w:lvlJc w:val="left"/>
      <w:lvlText w:val="%1."/>
      <w:numFmt w:val="decimal"/>
      <w:start w:val="4"/>
    </w:lvl>
  </w:abstractNum>
  <w:abstractNum w:abstractNumId="108">
    <w:nsid w:val="39B7AAA2"/>
    <w:multiLevelType w:val="hybridMultilevel"/>
    <w:lvl w:ilvl="0">
      <w:lvlJc w:val="left"/>
      <w:lvlText w:val="%1."/>
      <w:numFmt w:val="decimal"/>
      <w:start w:val="5"/>
    </w:lvl>
  </w:abstractNum>
  <w:abstractNum w:abstractNumId="109">
    <w:nsid w:val="2B0D8DBE"/>
    <w:multiLevelType w:val="hybridMultilevel"/>
    <w:lvl w:ilvl="0">
      <w:lvlJc w:val="left"/>
      <w:lvlText w:val="%1."/>
      <w:numFmt w:val="decimal"/>
      <w:start w:val="6"/>
    </w:lvl>
  </w:abstractNum>
  <w:abstractNum w:abstractNumId="110">
    <w:nsid w:val="6C80EC70"/>
    <w:multiLevelType w:val="hybridMultilevel"/>
    <w:lvl w:ilvl="0">
      <w:lvlJc w:val="left"/>
      <w:lvlText w:val="%1."/>
      <w:numFmt w:val="decimal"/>
      <w:start w:val="1"/>
    </w:lvl>
  </w:abstractNum>
  <w:abstractNum w:abstractNumId="111">
    <w:nsid w:val="379E21B5"/>
    <w:multiLevelType w:val="hybridMultilevel"/>
    <w:lvl w:ilvl="0">
      <w:lvlJc w:val="left"/>
      <w:lvlText w:val="%1."/>
      <w:numFmt w:val="decimal"/>
      <w:start w:val="5"/>
    </w:lvl>
  </w:abstractNum>
  <w:abstractNum w:abstractNumId="112">
    <w:nsid w:val="69E373"/>
    <w:multiLevelType w:val="hybridMultilevel"/>
    <w:lvl w:ilvl="0">
      <w:lvlJc w:val="left"/>
      <w:lvlText w:val="%1."/>
      <w:numFmt w:val="decimal"/>
      <w:start w:val="6"/>
    </w:lvl>
  </w:abstractNum>
  <w:abstractNum w:abstractNumId="113">
    <w:nsid w:val="2C27173B"/>
    <w:multiLevelType w:val="hybridMultilevel"/>
    <w:lvl w:ilvl="0">
      <w:lvlJc w:val="left"/>
      <w:lvlText w:val="%1."/>
      <w:numFmt w:val="decimal"/>
      <w:start w:val="1"/>
    </w:lvl>
  </w:abstractNum>
  <w:abstractNum w:abstractNumId="114">
    <w:nsid w:val="4C9B0904"/>
    <w:multiLevelType w:val="hybridMultilevel"/>
    <w:lvl w:ilvl="0">
      <w:lvlJc w:val="left"/>
      <w:lvlText w:val="%1."/>
      <w:numFmt w:val="decimal"/>
      <w:start w:val="5"/>
    </w:lvl>
  </w:abstractNum>
  <w:abstractNum w:abstractNumId="115">
    <w:nsid w:val="6AA7B75C"/>
    <w:multiLevelType w:val="hybridMultilevel"/>
    <w:lvl w:ilvl="0">
      <w:lvlJc w:val="left"/>
      <w:lvlText w:val="%1."/>
      <w:numFmt w:val="decimal"/>
      <w:start w:val="6"/>
    </w:lvl>
  </w:abstractNum>
  <w:abstractNum w:abstractNumId="116">
    <w:nsid w:val="1DF029D3"/>
    <w:multiLevelType w:val="hybridMultilevel"/>
    <w:lvl w:ilvl="0">
      <w:lvlJc w:val="left"/>
      <w:lvlText w:val="%1."/>
      <w:numFmt w:val="decimal"/>
      <w:start w:val="1"/>
    </w:lvl>
  </w:abstractNum>
  <w:abstractNum w:abstractNumId="117">
    <w:nsid w:val="5675FF36"/>
    <w:multiLevelType w:val="hybridMultilevel"/>
    <w:lvl w:ilvl="0">
      <w:lvlJc w:val="left"/>
      <w:lvlText w:val="%1."/>
      <w:numFmt w:val="decimal"/>
      <w:start w:val="5"/>
    </w:lvl>
  </w:abstractNum>
  <w:abstractNum w:abstractNumId="118">
    <w:nsid w:val="3DD15094"/>
    <w:multiLevelType w:val="hybridMultilevel"/>
    <w:lvl w:ilvl="0">
      <w:lvlJc w:val="left"/>
      <w:lvlText w:val="%1."/>
      <w:numFmt w:val="decimal"/>
      <w:start w:val="6"/>
    </w:lvl>
  </w:abstractNum>
  <w:abstractNum w:abstractNumId="119">
    <w:nsid w:val="3DB012B3"/>
    <w:multiLevelType w:val="hybridMultilevel"/>
    <w:lvl w:ilvl="0">
      <w:lvlJc w:val="left"/>
      <w:lvlText w:val="%1."/>
      <w:numFmt w:val="decimal"/>
      <w:start w:val="1"/>
    </w:lvl>
    <w:lvl w:ilvl="1">
      <w:lvlJc w:val="left"/>
      <w:lvlText w:val="(%2)"/>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441" Type="http://schemas.openxmlformats.org/officeDocument/2006/relationships/image" Target="media/image412.png"/><Relationship Id="rId442" Type="http://schemas.openxmlformats.org/officeDocument/2006/relationships/image" Target="media/image413.png"/><Relationship Id="rId443" Type="http://schemas.openxmlformats.org/officeDocument/2006/relationships/image" Target="media/image414.png"/><Relationship Id="rId444" Type="http://schemas.openxmlformats.org/officeDocument/2006/relationships/image" Target="media/image415.png"/><Relationship Id="rId445" Type="http://schemas.openxmlformats.org/officeDocument/2006/relationships/image" Target="media/image416.png"/><Relationship Id="rId446" Type="http://schemas.openxmlformats.org/officeDocument/2006/relationships/image" Target="media/image417.png"/><Relationship Id="rId447"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0" Type="http://schemas.openxmlformats.org/officeDocument/2006/relationships/image" Target="media/image421.jpeg"/><Relationship Id="rId451" Type="http://schemas.openxmlformats.org/officeDocument/2006/relationships/image" Target="media/image422.png"/><Relationship Id="rId452" Type="http://schemas.openxmlformats.org/officeDocument/2006/relationships/image" Target="media/image423.png"/><Relationship Id="rId453" Type="http://schemas.openxmlformats.org/officeDocument/2006/relationships/image" Target="media/image424.png"/><Relationship Id="rId454" Type="http://schemas.openxmlformats.org/officeDocument/2006/relationships/image" Target="media/image425.png"/><Relationship Id="rId455" Type="http://schemas.openxmlformats.org/officeDocument/2006/relationships/image" Target="media/image426.png"/><Relationship Id="rId456" Type="http://schemas.openxmlformats.org/officeDocument/2006/relationships/image" Target="media/image427.png"/><Relationship Id="rId457" Type="http://schemas.openxmlformats.org/officeDocument/2006/relationships/image" Target="media/image428.png"/><Relationship Id="rId458" Type="http://schemas.openxmlformats.org/officeDocument/2006/relationships/image" Target="media/image429.png"/><Relationship Id="rId459" Type="http://schemas.openxmlformats.org/officeDocument/2006/relationships/image" Target="media/image430.png"/><Relationship Id="rId460"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jpeg"/><Relationship Id="rId464"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png"/><Relationship Id="rId467" Type="http://schemas.openxmlformats.org/officeDocument/2006/relationships/image" Target="media/image438.png"/><Relationship Id="rId468" Type="http://schemas.openxmlformats.org/officeDocument/2006/relationships/image" Target="media/image439.png"/><Relationship Id="rId469" Type="http://schemas.openxmlformats.org/officeDocument/2006/relationships/image" Target="media/image440.png"/><Relationship Id="rId470" Type="http://schemas.openxmlformats.org/officeDocument/2006/relationships/image" Target="media/image441.png"/><Relationship Id="rId471" Type="http://schemas.openxmlformats.org/officeDocument/2006/relationships/image" Target="media/image442.png"/><Relationship Id="rId472" Type="http://schemas.openxmlformats.org/officeDocument/2006/relationships/image" Target="media/image443.png"/><Relationship Id="rId473"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6" Type="http://schemas.openxmlformats.org/officeDocument/2006/relationships/image" Target="media/image447.jpeg"/><Relationship Id="rId477" Type="http://schemas.openxmlformats.org/officeDocument/2006/relationships/image" Target="media/image448.png"/><Relationship Id="rId478" Type="http://schemas.openxmlformats.org/officeDocument/2006/relationships/image" Target="media/image449.png"/><Relationship Id="rId479" Type="http://schemas.openxmlformats.org/officeDocument/2006/relationships/image" Target="media/image450.png"/><Relationship Id="rId480" Type="http://schemas.openxmlformats.org/officeDocument/2006/relationships/image" Target="media/image451.png"/><Relationship Id="rId481" Type="http://schemas.openxmlformats.org/officeDocument/2006/relationships/image" Target="media/image452.png"/><Relationship Id="rId482" Type="http://schemas.openxmlformats.org/officeDocument/2006/relationships/image" Target="media/image453.png"/><Relationship Id="rId483" Type="http://schemas.openxmlformats.org/officeDocument/2006/relationships/image" Target="media/image454.png"/><Relationship Id="rId484" Type="http://schemas.openxmlformats.org/officeDocument/2006/relationships/image" Target="media/image455.png"/><Relationship Id="rId485" Type="http://schemas.openxmlformats.org/officeDocument/2006/relationships/image" Target="media/image456.png"/><Relationship Id="rId486" Type="http://schemas.openxmlformats.org/officeDocument/2006/relationships/image" Target="media/image457.png"/><Relationship Id="rId487" Type="http://schemas.openxmlformats.org/officeDocument/2006/relationships/image" Target="media/image458.png"/><Relationship Id="rId488" Type="http://schemas.openxmlformats.org/officeDocument/2006/relationships/image" Target="media/image459.png"/><Relationship Id="rId489" Type="http://schemas.openxmlformats.org/officeDocument/2006/relationships/image" Target="media/image460.jpeg"/><Relationship Id="rId490" Type="http://schemas.openxmlformats.org/officeDocument/2006/relationships/image" Target="media/image461.png"/><Relationship Id="rId491" Type="http://schemas.openxmlformats.org/officeDocument/2006/relationships/image" Target="media/image462.png"/><Relationship Id="rId492" Type="http://schemas.openxmlformats.org/officeDocument/2006/relationships/image" Target="media/image463.png"/><Relationship Id="rId493" Type="http://schemas.openxmlformats.org/officeDocument/2006/relationships/image" Target="media/image464.jpeg"/><Relationship Id="rId494" Type="http://schemas.openxmlformats.org/officeDocument/2006/relationships/image" Target="media/image465.png"/><Relationship Id="rId495" Type="http://schemas.openxmlformats.org/officeDocument/2006/relationships/image" Target="media/image466.png"/><Relationship Id="rId496" Type="http://schemas.openxmlformats.org/officeDocument/2006/relationships/image" Target="media/image467.png"/><Relationship Id="rId497" Type="http://schemas.openxmlformats.org/officeDocument/2006/relationships/image" Target="media/image468.jpeg"/><Relationship Id="rId498" Type="http://schemas.openxmlformats.org/officeDocument/2006/relationships/image" Target="media/image469.png"/><Relationship Id="rId499" Type="http://schemas.openxmlformats.org/officeDocument/2006/relationships/image" Target="media/image470.png"/><Relationship Id="rId500" Type="http://schemas.openxmlformats.org/officeDocument/2006/relationships/image" Target="media/image471.png"/><Relationship Id="rId501" Type="http://schemas.openxmlformats.org/officeDocument/2006/relationships/image" Target="media/image472.png"/><Relationship Id="rId502" Type="http://schemas.openxmlformats.org/officeDocument/2006/relationships/image" Target="media/image473.png"/><Relationship Id="rId503" Type="http://schemas.openxmlformats.org/officeDocument/2006/relationships/image" Target="media/image474.png"/><Relationship Id="rId504" Type="http://schemas.openxmlformats.org/officeDocument/2006/relationships/image" Target="media/image475.png"/><Relationship Id="rId505" Type="http://schemas.openxmlformats.org/officeDocument/2006/relationships/image" Target="media/image476.png"/><Relationship Id="rId506" Type="http://schemas.openxmlformats.org/officeDocument/2006/relationships/image" Target="media/image477.png"/><Relationship Id="rId507" Type="http://schemas.openxmlformats.org/officeDocument/2006/relationships/image" Target="media/image478.png"/><Relationship Id="rId508" Type="http://schemas.openxmlformats.org/officeDocument/2006/relationships/image" Target="media/image479.png"/><Relationship Id="rId509" Type="http://schemas.openxmlformats.org/officeDocument/2006/relationships/image" Target="media/image480.png"/><Relationship Id="rId416" Type="http://schemas.openxmlformats.org/officeDocument/2006/relationships/hyperlink" Target="https://www.sec.gov/Archives/edgar/data/1803901/000119312521025013/d119648ds4.htm#rom119648_45" TargetMode="External"/><Relationship Id="rId417" Type="http://schemas.openxmlformats.org/officeDocument/2006/relationships/hyperlink" Target="https://www.sec.gov/Archives/edgar/data/1803901/000119312521197385/d182715dex31.htm" TargetMode="External"/><Relationship Id="rId418" Type="http://schemas.openxmlformats.org/officeDocument/2006/relationships/hyperlink" Target="https://www.sec.gov/Archives/edgar/data/1803901/000119312521197385/d182715dex32.htm" TargetMode="External"/><Relationship Id="rId419" Type="http://schemas.openxmlformats.org/officeDocument/2006/relationships/hyperlink" Target="https://www.sec.gov/Archives/edgar/data/0001803901/000119312520166711/d937996dex41.htm" TargetMode="External"/><Relationship Id="rId420" Type="http://schemas.openxmlformats.org/officeDocument/2006/relationships/hyperlink" Target="https://www.sec.gov/Archives/edgar/data/0001803901/000119312520161434/d846732dex43.htm" TargetMode="External"/><Relationship Id="rId421" Type="http://schemas.openxmlformats.org/officeDocument/2006/relationships/hyperlink" Target="https://www.sec.gov/Archives/edgar/data/0001803901/000119312521167533/d119648dex45.htm" TargetMode="External"/><Relationship Id="rId422" Type="http://schemas.openxmlformats.org/officeDocument/2006/relationships/hyperlink" Target="https://www.sec.gov/Archives/edgar/data/0001803901/000119312521260654/d552255dex991.htm" TargetMode="External"/><Relationship Id="rId423" Type="http://schemas.openxmlformats.org/officeDocument/2006/relationships/hyperlink" Target="https://www.sec.gov/Archives/edgar/data/0001803901/000119312521260654/d552255dex992.htm" TargetMode="External"/><Relationship Id="rId424" Type="http://schemas.openxmlformats.org/officeDocument/2006/relationships/hyperlink" Target="https://www.sec.gov/Archives/edgar/data/0001803901/000119312521260654/d552255dex993.htm" TargetMode="External"/><Relationship Id="rId425" Type="http://schemas.openxmlformats.org/officeDocument/2006/relationships/hyperlink" Target="https://www.sec.gov/Archives/edgar/data/0001803901/000119312521197353/d136958dex101.htm" TargetMode="External"/><Relationship Id="rId426" Type="http://schemas.openxmlformats.org/officeDocument/2006/relationships/hyperlink" Target="https://www.sec.gov/Archives/edgar/data/0001803901/000119312521197353/d136958dex102.htm" TargetMode="External"/><Relationship Id="rId427" Type="http://schemas.openxmlformats.org/officeDocument/2006/relationships/hyperlink" Target="https://www.sec.gov/Archives/edgar/data/0001803901/000119312521197353/d136958dex103.htm" TargetMode="External"/><Relationship Id="rId428" Type="http://schemas.openxmlformats.org/officeDocument/2006/relationships/hyperlink" Target="https://www.sec.gov/Archives/edgar/data/0001803901/000119312521197353/d136958dex107a.htm" TargetMode="External"/><Relationship Id="rId429" Type="http://schemas.openxmlformats.org/officeDocument/2006/relationships/hyperlink" Target="https://www.sec.gov/Archives/edgar/data/0001803901/000119312521197353/d136958dex107b.htm" TargetMode="External"/><Relationship Id="rId430" Type="http://schemas.openxmlformats.org/officeDocument/2006/relationships/hyperlink" Target="https://www.sec.gov/Archives/edgar/data/0001803901/000119312521197353/d136958dex109.htm" TargetMode="External"/><Relationship Id="rId431" Type="http://schemas.openxmlformats.org/officeDocument/2006/relationships/hyperlink" Target="https://www.sec.gov/Archives/edgar/data/0001803901/000119312521106573/d119648dex1019.htm" TargetMode="External"/><Relationship Id="rId432" Type="http://schemas.openxmlformats.org/officeDocument/2006/relationships/hyperlink" Target="https://www.sec.gov/Archives/edgar/data/0001803901/000095017021001074/talk-20210630ex10_14.htm" TargetMode="External"/><Relationship Id="rId433" Type="http://schemas.openxmlformats.org/officeDocument/2006/relationships/hyperlink" Target="https://www.sec.gov/Archives/edgar/data/0001803901/000095017021005127/talk-ex10_1.htm" TargetMode="External"/><Relationship Id="rId434" Type="http://schemas.openxmlformats.org/officeDocument/2006/relationships/hyperlink" Target="https://www.sec.gov/Archives/edgar/data/0001803901/000119312521197353/d136958dex104.htm" TargetMode="External"/><Relationship Id="rId435" Type="http://schemas.openxmlformats.org/officeDocument/2006/relationships/hyperlink" Target="https://www.sec.gov/Archives/edgar/data/0001803901/000119312521197353/d136958dex105.htm" TargetMode="External"/><Relationship Id="rId436" Type="http://schemas.openxmlformats.org/officeDocument/2006/relationships/hyperlink" Target="https://www.sec.gov/Archives/edgar/data/0001803901/000119312521197353/d136958dex106.htm" TargetMode="External"/><Relationship Id="rId437" Type="http://schemas.openxmlformats.org/officeDocument/2006/relationships/hyperlink" Target="https://www.sec.gov/Archives/edgar/data/0001803901/000119312521197353/d13695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2022-02-25T15:27:07Z</dcterms:created>
  <dcterms:modified xsi:type="dcterms:W3CDTF">2022-02-25T15:27:07Z</dcterms:modified>
</cp:coreProperties>
</file>