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9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36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w w:val="79"/>
              </w:rPr>
              <w:t>to</w:t>
            </w:r>
          </w:p>
        </w:tc>
      </w:tr>
      <w:tr>
        <w:trPr>
          <w:trHeight w:val="285"/>
        </w:trPr>
        <w:tc>
          <w:tcPr>
            <w:tcW w:w="3120" w:type="dxa"/>
            <w:vAlign w:val="bottom"/>
            <w:gridSpan w:val="3"/>
          </w:tcPr>
          <w:p>
            <w:pPr>
              <w:ind w:left="900"/>
              <w:spacing w:after="0"/>
              <w:rPr>
                <w:sz w:val="20"/>
                <w:szCs w:val="20"/>
                <w:color w:val="auto"/>
              </w:rPr>
            </w:pPr>
            <w:r>
              <w:rPr>
                <w:rFonts w:ascii="Arial" w:cs="Arial" w:eastAsia="Arial" w:hAnsi="Arial"/>
                <w:sz w:val="16"/>
                <w:szCs w:val="16"/>
                <w:b w:val="1"/>
                <w:bCs w:val="1"/>
                <w:color w:val="auto"/>
                <w:w w:val="91"/>
              </w:rPr>
              <w:t>Commission File No. 001-39314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-193040</wp:posOffset>
            </wp:positionV>
            <wp:extent cx="514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HUDSON EXECUTIVE INVESTMENT CORP.</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3860" w:type="dxa"/>
            <w:vAlign w:val="bottom"/>
            <w:gridSpan w:val="2"/>
          </w:tcPr>
          <w:p>
            <w:pPr>
              <w:jc w:val="center"/>
              <w:ind w:left="1624"/>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84-4636604</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left="162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60" w:type="dxa"/>
            <w:vAlign w:val="bottom"/>
            <w:gridSpan w:val="2"/>
          </w:tcPr>
          <w:p>
            <w:pPr>
              <w:jc w:val="center"/>
              <w:ind w:left="1624"/>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40" w:type="dxa"/>
            <w:vAlign w:val="bottom"/>
            <w:gridSpan w:val="3"/>
          </w:tcPr>
          <w:p>
            <w:pPr>
              <w:jc w:val="center"/>
              <w:ind w:right="820"/>
              <w:spacing w:after="0" w:line="254" w:lineRule="exact"/>
              <w:rPr>
                <w:sz w:val="20"/>
                <w:szCs w:val="20"/>
                <w:color w:val="auto"/>
              </w:rPr>
            </w:pPr>
            <w:r>
              <w:rPr>
                <w:rFonts w:ascii="Arial" w:cs="Arial" w:eastAsia="Arial" w:hAnsi="Arial"/>
                <w:sz w:val="16"/>
                <w:szCs w:val="16"/>
                <w:b w:val="1"/>
                <w:bCs w:val="1"/>
                <w:color w:val="auto"/>
                <w:w w:val="89"/>
              </w:rPr>
              <w:t>570 Lexington Avenue, 35</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3"/>
              </w:rPr>
              <w:t>New York, New York 10022</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80" w:type="dxa"/>
            <w:vAlign w:val="bottom"/>
            <w:gridSpan w:val="6"/>
          </w:tcPr>
          <w:p>
            <w:pPr>
              <w:jc w:val="center"/>
              <w:ind w:left="3444"/>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2"/>
          </w:tcPr>
          <w:p>
            <w:pPr>
              <w:jc w:val="center"/>
              <w:ind w:left="424"/>
              <w:spacing w:after="0"/>
              <w:rPr>
                <w:sz w:val="20"/>
                <w:szCs w:val="20"/>
                <w:color w:val="auto"/>
              </w:rPr>
            </w:pPr>
            <w:r>
              <w:rPr>
                <w:rFonts w:ascii="Arial" w:cs="Arial" w:eastAsia="Arial" w:hAnsi="Arial"/>
                <w:sz w:val="16"/>
                <w:szCs w:val="16"/>
                <w:b w:val="1"/>
                <w:bCs w:val="1"/>
                <w:color w:val="auto"/>
                <w:w w:val="93"/>
              </w:rPr>
              <w:t>(212) 521-8495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rPr>
              <w:t>N/A</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10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80" w:type="dxa"/>
            <w:vAlign w:val="bottom"/>
            <w:gridSpan w:val="6"/>
          </w:tcPr>
          <w:p>
            <w:pPr>
              <w:jc w:val="center"/>
              <w:ind w:left="344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38"/>
        </w:trPr>
        <w:tc>
          <w:tcPr>
            <w:tcW w:w="3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88"/>
              </w:rPr>
              <w:t>Units, each consisting of one share of Class A common</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2"/>
          </w:tcPr>
          <w:p>
            <w:pPr>
              <w:jc w:val="center"/>
              <w:ind w:right="480"/>
              <w:spacing w:after="0" w:line="138" w:lineRule="exact"/>
              <w:rPr>
                <w:sz w:val="20"/>
                <w:szCs w:val="20"/>
                <w:color w:val="auto"/>
              </w:rPr>
            </w:pPr>
            <w:r>
              <w:rPr>
                <w:rFonts w:ascii="Arial" w:cs="Arial" w:eastAsia="Arial" w:hAnsi="Arial"/>
                <w:sz w:val="15"/>
                <w:szCs w:val="15"/>
                <w:b w:val="1"/>
                <w:bCs w:val="1"/>
                <w:color w:val="auto"/>
              </w:rPr>
              <w:t>HECCU</w:t>
            </w:r>
          </w:p>
        </w:tc>
        <w:tc>
          <w:tcPr>
            <w:tcW w:w="100" w:type="dxa"/>
            <w:vAlign w:val="bottom"/>
          </w:tcPr>
          <w:p>
            <w:pPr>
              <w:spacing w:after="0"/>
              <w:rPr>
                <w:sz w:val="12"/>
                <w:szCs w:val="12"/>
                <w:color w:val="auto"/>
              </w:rPr>
            </w:pPr>
          </w:p>
        </w:tc>
        <w:tc>
          <w:tcPr>
            <w:tcW w:w="35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95"/>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stock and one-half of one redeemable warrant</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Class A common stock, par value $0.0001 per share</w:t>
            </w:r>
          </w:p>
        </w:tc>
        <w:tc>
          <w:tcPr>
            <w:tcW w:w="480" w:type="dxa"/>
            <w:vAlign w:val="bottom"/>
          </w:tcPr>
          <w:p>
            <w:pPr>
              <w:spacing w:after="0"/>
              <w:rPr>
                <w:sz w:val="14"/>
                <w:szCs w:val="14"/>
                <w:color w:val="auto"/>
              </w:rPr>
            </w:pPr>
          </w:p>
        </w:tc>
        <w:tc>
          <w:tcPr>
            <w:tcW w:w="3140" w:type="dxa"/>
            <w:vAlign w:val="bottom"/>
            <w:gridSpan w:val="3"/>
          </w:tcPr>
          <w:p>
            <w:pPr>
              <w:jc w:val="center"/>
              <w:ind w:right="580"/>
              <w:spacing w:after="0" w:line="162" w:lineRule="exact"/>
              <w:rPr>
                <w:sz w:val="20"/>
                <w:szCs w:val="20"/>
                <w:color w:val="auto"/>
              </w:rPr>
            </w:pPr>
            <w:r>
              <w:rPr>
                <w:rFonts w:ascii="Arial" w:cs="Arial" w:eastAsia="Arial" w:hAnsi="Arial"/>
                <w:sz w:val="15"/>
                <w:szCs w:val="15"/>
                <w:b w:val="1"/>
                <w:bCs w:val="1"/>
                <w:color w:val="auto"/>
              </w:rPr>
              <w:t>HEC</w:t>
            </w:r>
          </w:p>
        </w:tc>
        <w:tc>
          <w:tcPr>
            <w:tcW w:w="3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Warrants, each whole warrant exercisable for one share</w:t>
            </w:r>
          </w:p>
        </w:tc>
        <w:tc>
          <w:tcPr>
            <w:tcW w:w="480" w:type="dxa"/>
            <w:vAlign w:val="bottom"/>
          </w:tcPr>
          <w:p>
            <w:pPr>
              <w:spacing w:after="0"/>
              <w:rPr>
                <w:sz w:val="14"/>
                <w:szCs w:val="14"/>
                <w:color w:val="auto"/>
              </w:rPr>
            </w:pPr>
          </w:p>
        </w:tc>
        <w:tc>
          <w:tcPr>
            <w:tcW w:w="3140" w:type="dxa"/>
            <w:vAlign w:val="bottom"/>
            <w:gridSpan w:val="3"/>
          </w:tcPr>
          <w:p>
            <w:pPr>
              <w:jc w:val="center"/>
              <w:ind w:right="580"/>
              <w:spacing w:after="0" w:line="162" w:lineRule="exact"/>
              <w:rPr>
                <w:sz w:val="20"/>
                <w:szCs w:val="20"/>
                <w:color w:val="auto"/>
              </w:rPr>
            </w:pPr>
            <w:r>
              <w:rPr>
                <w:rFonts w:ascii="Arial" w:cs="Arial" w:eastAsia="Arial" w:hAnsi="Arial"/>
                <w:sz w:val="15"/>
                <w:szCs w:val="15"/>
                <w:b w:val="1"/>
                <w:bCs w:val="1"/>
                <w:color w:val="auto"/>
              </w:rPr>
              <w:t>HECCW</w:t>
            </w:r>
          </w:p>
        </w:tc>
        <w:tc>
          <w:tcPr>
            <w:tcW w:w="3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9"/>
              </w:rPr>
              <w:t>of Class A common stock, each at an exercise price of</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$11.50 per share</w:t>
            </w:r>
          </w:p>
        </w:tc>
        <w:tc>
          <w:tcPr>
            <w:tcW w:w="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120" w:right="44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left="120" w:right="20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43"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82"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23" w:lineRule="exact"/>
        <w:rPr>
          <w:sz w:val="24"/>
          <w:szCs w:val="24"/>
          <w:color w:val="auto"/>
        </w:rPr>
      </w:pPr>
    </w:p>
    <w:p>
      <w:pPr>
        <w:ind w:left="9140"/>
        <w:spacing w:after="0"/>
        <w:rPr>
          <w:sz w:val="20"/>
          <w:szCs w:val="20"/>
          <w:color w:val="auto"/>
        </w:rPr>
      </w:pPr>
      <w:r>
        <w:rPr>
          <w:rFonts w:ascii="Arial" w:cs="Arial" w:eastAsia="Arial" w:hAnsi="Arial"/>
          <w:sz w:val="13"/>
          <w:szCs w:val="13"/>
          <w:color w:val="auto"/>
        </w:rPr>
        <w:t>Emerging growth company</w:t>
      </w:r>
    </w:p>
    <w:p>
      <w:pPr>
        <w:spacing w:after="0" w:line="80"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left="560"/>
        <w:spacing w:after="0"/>
        <w:rPr>
          <w:sz w:val="20"/>
          <w:szCs w:val="20"/>
          <w:color w:val="auto"/>
        </w:rPr>
      </w:pPr>
      <w:r>
        <w:rPr>
          <w:rFonts w:ascii="Arial" w:cs="Arial" w:eastAsia="Arial" w:hAnsi="Arial"/>
          <w:sz w:val="13"/>
          <w:szCs w:val="13"/>
          <w:color w:val="auto"/>
        </w:rPr>
        <w:t>As of August 14, 2020, 41,400,000 Class A ordinary shares, $0.0001 par value, and 10,350,000 Class B ordinary shares, $0.0001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700" w:space="300"/>
            <w:col w:w="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1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660" w:type="dxa"/>
            <w:vAlign w:val="bottom"/>
            <w:gridSpan w:val="7"/>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Balance Sheet as of June 30,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95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 of Operations for the Three Months Ended June 30, 2020 and for the Period from February 6, 2020</w:t>
              </w:r>
            </w:hyperlink>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(Inception) Through June 30, 2020</w:t>
              </w:r>
            </w:hyperlink>
          </w:p>
        </w:tc>
        <w:tc>
          <w:tcPr>
            <w:tcW w:w="7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Statement of Changes in Stockholders’ Equity for the Three Months Ended June 30, 2020 and for the Period</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from February 6, 2020 (Inception) Through June 30, 2020</w:t>
              </w:r>
            </w:hyperlink>
          </w:p>
        </w:tc>
        <w:tc>
          <w:tcPr>
            <w:tcW w:w="3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Statement of Cash Flows for the Period from February 6, 2020 (Inception) Through June 30,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800" w:type="dxa"/>
            <w:vAlign w:val="bottom"/>
            <w:gridSpan w:val="6"/>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6"/>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6"/>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6"/>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7"/>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 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6"/>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6"/>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6"/>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0660" w:type="dxa"/>
            <w:vAlign w:val="bottom"/>
            <w:gridSpan w:val="7"/>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40" w:type="dxa"/>
            <w:vAlign w:val="bottom"/>
            <w:gridSpan w:val="3"/>
          </w:tcPr>
          <w:p>
            <w:pPr>
              <w:ind w:left="2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020" w:type="dxa"/>
            <w:vAlign w:val="bottom"/>
            <w:gridSpan w:val="3"/>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80" w:type="dxa"/>
            <w:vAlign w:val="bottom"/>
          </w:tcPr>
          <w:p>
            <w:pPr>
              <w:jc w:val="center"/>
              <w:ind w:left="310"/>
              <w:spacing w:after="0"/>
              <w:rPr>
                <w:sz w:val="20"/>
                <w:szCs w:val="20"/>
                <w:color w:val="auto"/>
              </w:rPr>
            </w:pPr>
            <w:r>
              <w:rPr>
                <w:rFonts w:ascii="Arial" w:cs="Arial" w:eastAsia="Arial" w:hAnsi="Arial"/>
                <w:sz w:val="18"/>
                <w:szCs w:val="18"/>
                <w:b w:val="1"/>
                <w:bCs w:val="1"/>
                <w:color w:val="auto"/>
              </w:rPr>
              <w:t>PART 1 – 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180" w:type="dxa"/>
            <w:vAlign w:val="bottom"/>
          </w:tcPr>
          <w:p>
            <w:pPr>
              <w:ind w:left="360"/>
              <w:spacing w:after="0"/>
              <w:rPr>
                <w:sz w:val="20"/>
                <w:szCs w:val="20"/>
                <w:color w:val="auto"/>
              </w:rPr>
            </w:pPr>
            <w:r>
              <w:rPr>
                <w:rFonts w:ascii="Arial" w:cs="Arial" w:eastAsia="Arial" w:hAnsi="Arial"/>
                <w:sz w:val="18"/>
                <w:szCs w:val="18"/>
                <w:b w:val="1"/>
                <w:bCs w:val="1"/>
                <w:color w:val="auto"/>
              </w:rPr>
              <w:t>CONDENSED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80" w:type="dxa"/>
            <w:vAlign w:val="bottom"/>
          </w:tcPr>
          <w:p>
            <w:pPr>
              <w:jc w:val="center"/>
              <w:ind w:left="290"/>
              <w:spacing w:after="0"/>
              <w:rPr>
                <w:sz w:val="20"/>
                <w:szCs w:val="20"/>
                <w:color w:val="auto"/>
              </w:rPr>
            </w:pPr>
            <w:r>
              <w:rPr>
                <w:rFonts w:ascii="Arial" w:cs="Arial" w:eastAsia="Arial" w:hAnsi="Arial"/>
                <w:sz w:val="18"/>
                <w:szCs w:val="18"/>
                <w:b w:val="1"/>
                <w:bCs w:val="1"/>
                <w:color w:val="auto"/>
              </w:rPr>
              <w:t>HUDSON EXECUTIVE INVESTMENT CORP.</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180" w:type="dxa"/>
            <w:vAlign w:val="bottom"/>
          </w:tcPr>
          <w:p>
            <w:pPr>
              <w:jc w:val="center"/>
              <w:ind w:left="310"/>
              <w:spacing w:after="0"/>
              <w:rPr>
                <w:sz w:val="20"/>
                <w:szCs w:val="20"/>
                <w:color w:val="auto"/>
              </w:rPr>
            </w:pPr>
            <w:r>
              <w:rPr>
                <w:rFonts w:ascii="Arial" w:cs="Arial" w:eastAsia="Arial" w:hAnsi="Arial"/>
                <w:sz w:val="18"/>
                <w:szCs w:val="18"/>
                <w:b w:val="1"/>
                <w:bCs w:val="1"/>
                <w:color w:val="auto"/>
                <w:w w:val="98"/>
              </w:rPr>
              <w:t>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18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JUNE 30,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8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ASSETS</w:t>
            </w: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0"/>
              </w:rPr>
              <w:t>Cash</w:t>
            </w: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414,027,563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415,707,099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76,666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14,490,000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14,791,666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A common stock subject to possible redemption, 39,591,543 shares at $10.00 per share redemption value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395,915,430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A common stock, $0.0001 par value; 380,000,000 shares authorized; 1,808,457 shares issued and outstanding (excluding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39,591,543 shares subject to possible 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B common stock, $0.0001 par value; 20,000,000 shares authorized; 10,350,000 shares issued and outstanding</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5,035,172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(36,385)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415,707,099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February 6,</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(62,948)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(63,948)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27,563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(36,385)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(35,385)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(36,385)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41,400,000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income per share, Class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10,350,000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59" w:lineRule="auto"/>
        <w:rPr>
          <w:sz w:val="20"/>
          <w:szCs w:val="20"/>
          <w:color w:val="auto"/>
        </w:rPr>
      </w:pPr>
      <w:r>
        <w:rPr>
          <w:rFonts w:ascii="Arial" w:cs="Arial" w:eastAsia="Arial" w:hAnsi="Arial"/>
          <w:sz w:val="18"/>
          <w:szCs w:val="18"/>
          <w:b w:val="1"/>
          <w:bCs w:val="1"/>
          <w:color w:val="auto"/>
        </w:rPr>
        <w:t>HUDSON EXECUTIVE INVESTMENT CORP. CONDENSED STATEMENT OF CHANGES IN STOCKHOLDERS’ EQUITY FOR THE THREE MONTHS ENDED JUNE 30, 2020 AND FOR THE PERIOD FEBRUARY 6, 2020 (INCEPTION) THROUGH JUNE 30, 2020 (Unaudited)</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b w:val="1"/>
                <w:bCs w:val="1"/>
                <w:color w:val="auto"/>
                <w:w w:val="97"/>
              </w:rPr>
              <w:t>Class B</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11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February 6, 2020 (Inception)</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Issuance of Class B common stock to</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10,350,000</w:t>
            </w:r>
          </w:p>
        </w:tc>
        <w:tc>
          <w:tcPr>
            <w:tcW w:w="100" w:type="dxa"/>
            <w:vAlign w:val="bottom"/>
          </w:tcPr>
          <w:p>
            <w:pPr>
              <w:spacing w:after="0"/>
              <w:rPr>
                <w:sz w:val="20"/>
                <w:szCs w:val="20"/>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1,035</w:t>
            </w:r>
          </w:p>
        </w:tc>
        <w:tc>
          <w:tcPr>
            <w:tcW w:w="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23,965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88"/>
              </w:rPr>
              <w:t>10,350,000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1,035</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Sale of 41,400,000 Units, net of underwriting</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4,140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390,642,678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390,646,818</w:t>
            </w: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Sale of 10,280,000 Private Placement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10,280,000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(39,591,543)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(3,959)</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(395,911,471)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(395,915,430)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(35,385)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1,808,457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181</w:t>
            </w: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10,350,000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1,035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5,035,172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96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9840" w:type="dxa"/>
            <w:vAlign w:val="bottom"/>
          </w:tcPr>
          <w:p>
            <w:pPr>
              <w:jc w:val="center"/>
              <w:ind w:left="1070"/>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jc w:val="center"/>
              <w:ind w:left="1090"/>
              <w:spacing w:after="0"/>
              <w:rPr>
                <w:sz w:val="20"/>
                <w:szCs w:val="20"/>
                <w:color w:val="auto"/>
              </w:rPr>
            </w:pPr>
            <w:r>
              <w:rPr>
                <w:rFonts w:ascii="Arial" w:cs="Arial" w:eastAsia="Arial" w:hAnsi="Arial"/>
                <w:sz w:val="18"/>
                <w:szCs w:val="18"/>
                <w:b w:val="1"/>
                <w:bCs w:val="1"/>
                <w:color w:val="auto"/>
                <w:w w:val="98"/>
              </w:rPr>
              <w:t>CONDENSED 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jc w:val="center"/>
              <w:ind w:left="1070"/>
              <w:spacing w:after="0"/>
              <w:rPr>
                <w:sz w:val="20"/>
                <w:szCs w:val="20"/>
                <w:color w:val="auto"/>
              </w:rPr>
            </w:pPr>
            <w:r>
              <w:rPr>
                <w:rFonts w:ascii="Arial" w:cs="Arial" w:eastAsia="Arial" w:hAnsi="Arial"/>
                <w:sz w:val="18"/>
                <w:szCs w:val="18"/>
                <w:b w:val="1"/>
                <w:bCs w:val="1"/>
                <w:color w:val="auto"/>
                <w:w w:val="98"/>
              </w:rPr>
              <w:t>FOR THE PERIOD FEBRUARY 6, 2020 (INCEPTION) THROUGH JUNE 30,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84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(36,385)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(174,508)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76,666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(159,665)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(414,000,000)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(414,000,000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405,720,000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(129,606)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(205,701)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415,664,693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395,946,830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14,490,000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Deferred offering costs paid directly by Sponsor in consideration for the issuance of Class B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All activity for the period from February 6, 2020 (inception) through June 30, 2020 relates to the Company’s formation, its initial public offering (“Initial Public Offering”), which is described below, and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Transaction costs amounted to $23,353,182, consisting of $8,280,000 of underwriting fees, $14,490,000 of deferred underwriting fees and $583,182 of other offering costs. At June 30, 2020, cash of $1,505,028 was held outside of the Trust Account (as defined below) and is available for working capital purposes.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don’t vote at all.</w:t>
      </w:r>
    </w:p>
    <w:p>
      <w:pPr>
        <w:spacing w:after="0" w:line="17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 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92"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final prospectus for its Initial Public Offering as filed with the SEC on June 10, 2020, (the “Final Prospectus”), as well as the Company’s Current Reports on Form 8-K, as filed with the SEC on June 11, 2020 and June 17, 2020. The interim results for the three months ended June 30, 2020 and for the period from February 6, 2020 (inception) through June 30, 2020 are not necessarily indicative of the results to be expected for the year ending December 31, 2020 or for any future interim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8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June 30, 2020, there are 39,591,543 shares of Class A common stock subject to possible redemption presented as temporary equity, outside of the stockholders’ equity section of the Company’s condensed balance sheet.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w:t>
      </w:r>
    </w:p>
    <w:p>
      <w:pPr>
        <w:spacing w:after="0" w:line="121"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Offering costs consist of legal, accounting and other costs incurred through the Initial Public Offering that are directly related to the Initial Public Offering. Offering costs amounting to $23,353,182 were charged to stockholders’ equity upon the completion of the Initial Public Offering.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2020, the Company had a deferred tax asset of approximately $7,600, which had a full valuation allowance recorded against it of approximately $7,600.</w:t>
      </w:r>
    </w:p>
    <w:p>
      <w:pPr>
        <w:spacing w:after="0" w:line="17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June 30, 2020 and for the period from February 6, 2020 (inception) through June 30, 2020, the Company recorded no income tax expense. The Company’s effective tax rate for three months ended June 30, 2020 and for the period from February 6, 2020 (inception) through June 30, 2020 was approximately 0%, which differs from the expected income tax rate due to the start-up costs (discussed above) which are not currently deductible.</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per Common Share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Company’s condensed statement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of $27,563 for the three months ended June 30, 2020 and for the period from February 6, 2020 (inception) through June 30, 2020 (net of applicable franchise and income taxes of approximately $27,000 for the three months ended June 30, 2020 and for the period from February 6, 2020 (inception) through June 30, 2020), by the weighted average number of Class A redeemable common stock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 primarily due to their short-term nature.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PUBLIC OFFERING</w:t>
      </w:r>
    </w:p>
    <w:p>
      <w:pPr>
        <w:spacing w:after="0" w:line="121"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 The Founder Shares included an aggregate of up to 1,350,000 shares subject to forfeiture by the Sponsor to the extent that the underwriters’ over-allotment was not exercised in full or in part, so that the number of Founder Shares would collectively represent approximately 20% of the Company’s issued and outstanding shares after the Initial Public Offering (assuming the Sponsor did not purchase any Public Shares in the Initial Public Offering). As a result of the underwriter’s election to fully exercise their over-allotment option, 1,350,000 Founder Shares are no longer subject to forfeiture.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Sponsor has agreed, subject to certain limited exceptions, not to transfer, assign or sell any of the Founder Shares until the earlier to occur of</w:t>
      </w:r>
    </w:p>
    <w:p>
      <w:pPr>
        <w:spacing w:after="0" w:line="35" w:lineRule="exact"/>
        <w:rPr>
          <w:sz w:val="20"/>
          <w:szCs w:val="20"/>
          <w:color w:val="auto"/>
        </w:rPr>
      </w:pPr>
    </w:p>
    <w:p>
      <w:pPr>
        <w:ind w:left="420" w:hanging="304"/>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40"/>
        <w:spacing w:after="0" w:line="253"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As of June 11, 2020, there was $129,706 outstanding under the Promissory Note. The outstanding balance of $129,706 under the Promissory Note was repaid on June 12,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June 30, 2020, no Working Capital Loans were outstanding.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Support Agreement</w:t>
      </w:r>
    </w:p>
    <w:p>
      <w:pPr>
        <w:spacing w:after="0" w:line="121"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three months ended June 30, 2020 and for the period from February 6, 2020 (inception) through June 30, 2020, the Company incurred $10,000 in fees for these services. As of June 30, 2020, $10,000 is included in accrued expenses in the accompanying condensed balance sheet.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Purchase Agreement</w:t>
      </w:r>
    </w:p>
    <w:p>
      <w:pPr>
        <w:spacing w:after="0" w:line="12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Company entered into a forward purchase agreement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the Company entering into a definitive agreement for the initial Business Combination, of its investment committee. Pursuant to the terms of the Forward Purchase Agreement,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1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rights and preferences as may be determined from time to time by the Company’s board of directors. At June 30, 2020, there were no shares of preferred stock issued or outstanding.</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right="240"/>
        <w:spacing w:after="0" w:line="289" w:lineRule="auto"/>
        <w:rPr>
          <w:sz w:val="20"/>
          <w:szCs w:val="20"/>
          <w:color w:val="auto"/>
        </w:rPr>
      </w:pPr>
      <w:r>
        <w:rPr>
          <w:rFonts w:ascii="Arial" w:cs="Arial" w:eastAsia="Arial" w:hAnsi="Arial"/>
          <w:sz w:val="17"/>
          <w:szCs w:val="17"/>
          <w:b w:val="1"/>
          <w:bCs w:val="1"/>
          <w:color w:val="auto"/>
        </w:rPr>
        <w:t xml:space="preserve">Class A Common Stock — </w:t>
      </w:r>
      <w:r>
        <w:rPr>
          <w:rFonts w:ascii="Arial" w:cs="Arial" w:eastAsia="Arial" w:hAnsi="Arial"/>
          <w:sz w:val="17"/>
          <w:szCs w:val="17"/>
          <w:color w:val="auto"/>
        </w:rPr>
        <w:t>The Company is authorized to issue 380,000,000 shares of Class A common stock with a par value of $0.0001 per share.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Class A common stock are entitled to one vote for each share. At June 30, 2020, there were 1,808,457 shares of Class A common stock issued or outstanding, excluding 39,591,543 shares of Class A common stock subject to possible redemption.</w:t>
      </w:r>
    </w:p>
    <w:p>
      <w:pPr>
        <w:spacing w:after="0" w:line="158"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 xml:space="preserve">Class B Common Stock — </w:t>
      </w:r>
      <w:r>
        <w:rPr>
          <w:rFonts w:ascii="Arial" w:cs="Arial" w:eastAsia="Arial" w:hAnsi="Arial"/>
          <w:sz w:val="18"/>
          <w:szCs w:val="18"/>
          <w:color w:val="auto"/>
        </w:rPr>
        <w:t>The Company is authorized to issue 20,000,000 shares of Class B common stock with a par value of $0.0001 per share. At</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2020, there were 10,350,000 shares of Class B common stock issued and outstanding.</w:t>
      </w:r>
    </w:p>
    <w:p>
      <w:pPr>
        <w:spacing w:after="0" w:line="16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78"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color w:val="auto"/>
        </w:rPr>
        <w:t xml:space="preserve"> </w:t>
      </w:r>
      <w:r>
        <w:rPr>
          <w:rFonts w:ascii="Arial" w:cs="Arial" w:eastAsia="Arial" w:hAnsi="Arial"/>
          <w:sz w:val="18"/>
          <w:szCs w:val="18"/>
          <w:color w:val="auto"/>
        </w:rPr>
        <w:t>and only whole warrants will trade. The Public Warrants will become exercisable on the later of (a) 12 months from the closing of the Proposed Public Offering and (b) 30 days after the completion of a Business Combination.</w:t>
      </w:r>
    </w:p>
    <w:p>
      <w:pPr>
        <w:spacing w:after="0" w:line="18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8"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call the warrants for redemption:</w:t>
      </w:r>
    </w:p>
    <w:p>
      <w:pPr>
        <w:spacing w:after="0" w:line="25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080" w:right="1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stock splits, stock capitalizations,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2"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Proposed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320 “Investments—Debt and Equity Securities.” Held-to-maturity securities are those securities which the Company has the ability and intent to hold until maturity. Held-to-maturity treasury securities are recorded at amortized cost on the accompanying condensed balance sheet and adjusted for the amortization or accretion of premiums or discounts.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June 30, 2020, assets held in the Trust Account were comprised of $814 in money market funds, which are invested in U.S. Treasury Securities, and $414,026,749 in U.S. Treasury Bills. During the period from February 6, 2020 (inception) through June 30, 2020, the Company did not withdraw any interest income from the trust account to pay its franchise taxes.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gross holding losses and fair value of held-to-maturity securities at June 30, 2020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8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58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5"/>
              </w:rPr>
              <w:t>Holding</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5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2"/>
              </w:rPr>
              <w:t>Losses</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2020</w:t>
            </w: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 (Mature on 9/10/2020)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414,026,749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414,026,736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9" w:lineRule="exact"/>
        <w:rPr>
          <w:sz w:val="20"/>
          <w:szCs w:val="20"/>
          <w:color w:val="auto"/>
        </w:rPr>
      </w:pPr>
    </w:p>
    <w:p>
      <w:pPr>
        <w:ind w:left="1120" w:right="60" w:hanging="998"/>
        <w:spacing w:after="0" w:line="308" w:lineRule="auto"/>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20" w:right="500" w:hanging="998"/>
        <w:spacing w:after="0" w:line="277" w:lineRule="auto"/>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References in this report (the “Quarterly Report”) to “we,” “us” or the “Company” refer to Hudson Executive Investment Corp. References to our “management” or our “management team” refer to our officers and directors, references to the “Sponsor” refer to HEC Sponsor LLC. The following discussion and analysis of the Company’s financial condition and results of operations should be read in conjunction with the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Final Prospectus.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a blank check company incorporated on February 6,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issuance of additional shares in connection with an initial Business Combination to the owners of the target or other investors, including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 Purchase Units:</w:t>
      </w:r>
    </w:p>
    <w:p>
      <w:pPr>
        <w:spacing w:after="0" w:line="116" w:lineRule="exact"/>
        <w:rPr>
          <w:sz w:val="20"/>
          <w:szCs w:val="20"/>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131" w:lineRule="exact"/>
        <w:rPr>
          <w:sz w:val="20"/>
          <w:szCs w:val="20"/>
          <w:color w:val="auto"/>
        </w:rPr>
      </w:pPr>
    </w:p>
    <w:p>
      <w:pPr>
        <w:ind w:left="1080" w:right="4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June 30, 2020 were organizational activities, including those necessary to prepare for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For the three months ended June 30, 2020, we had a net loss of $35,385, which consists of operating costs of $62,948, offset by interest income on marketable securities held in the Trust Account of $27,563.</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the period from February 6, 2020 (inception) through June 30, 2020, we had a net loss of $36,385, which consists of operating costs of $63,948, offset by interest income on marketable securities held in the Trust Account of $27,563.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June 11, 2020, we consummated the Initial Public Offering of 41,400,000 Units, which included the full exercise by the underwriters of the over-allotment option to purchase an additional 5,400,000 Units, at $10.00 per Unit, generating gross proceeds of $414,000,000. Simultaneously with the closing of the Initial Public Offering, we consummated the sale of 10,280,000 Private Placement Warrants to our Sponsor at a price of $1.00 per warrant, generating gross proceeds of $10,280,000.</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$414,000,000 was placed in the Trust Account. We incurred $23,353,182 in transaction costs, including $8,280,000 of underwriting fees, $14,490,000 of deferred underwriting fees and $583,182 of other offering costs.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period from February 6, 2020 (inception) through June 30, 2020, cash used in operating activities was $159,665. Net loss of $36,385 was affected by interest earned on marketable securities held in the Trust Account of $27,563, formation costs paid by the Sponsor of $2,125 and changes in operating assets and liabilities, which used $97,842 of cash from operating activities.</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As of June 30, 2020, we had cash and marketable securities held in the Trust Account of $414,027,563.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June 30, 2020, we did not withdraw any interest income from the Trust Account.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of June 30, 2020, we had $1,505,028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92"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services to the Company. We began incurring these fees on June 8, 2020 and will continue to incur these fees monthly until the earlier of the completion of our Business Combination and the Company’s liquidation.</w:t>
      </w:r>
    </w:p>
    <w:p>
      <w:pPr>
        <w:spacing w:after="0" w:line="18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14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we into a forward purchase agreement with HEC Master pursuant to which HEC Master has committed to purchase from us up to 5,000,000 Forward Purchase Units, for $10.00 per unit, or an aggregate amount of up to $50,000,000, in a private placement that will close concurrently with the closing of a Business Combination. The proceeds from the sale of these Forward Purchase Units,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us entering into a definitive agreement for the initial Business Combination, of its investment committee. Pursuant to the terms of the forward purchase agreement, HEC Master will have the option to assign its commitment to one of its affiliates and up to $2,500,000 to members of our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balance sheet.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As of June 30, 2020, we were not subject to any market or interest rate risk. The net proceeds received into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2020. Based upon their evaluation, our Chief Executive Officer and Chief Financial Officer concluded that our disclosure controls and procedures (as defined in Rules 13a-15 (e) and 15d-15 (e) under the Exchange Act) were effective.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Factors that could cause our actual results to differ materially from those in this Quarterly Report are any of the risks described in the Final Prospectus.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except we may disclose changes to such factors or disclose additional factors from time to time in our future filings with the SEC.</w:t>
      </w:r>
    </w:p>
    <w:p>
      <w:pPr>
        <w:spacing w:after="0" w:line="32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On June 11, 2020, we consummated our Initial Public Offering of 41,400,000 Units, inclusive of underwriters’ election to fully exercise their over-allotment option, we sold an additional 5,400,000 Units. The Units were sold at an offering price of $10.00 per Unit, generating total gross proceeds of $414,000,000. Citigroup Global Markets Inc and J.P. Morgan Securities LLC acted as the joint book running managers and SVB Leerink LLC acted as the co-manager of the offering. The securities sold in the offering were registered under the Securities Act on a registration statement on Form S-1 (No. 333-238583). The SEC declared the registration statement effective on June 8, 2020.</w:t>
      </w:r>
    </w:p>
    <w:p>
      <w:pPr>
        <w:spacing w:after="0" w:line="176"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Simultaneously with the consummation of the Initial Public Offering and the full exercise of the over-allotment option, we consummated a private placement of 10,280,000 Private Placement Warrants to our Sponsor at a price of $1.00 per Private Placement Warrant, generating total proceeds of $10,280,000. Such securities were issued pursuant to the exemption from registration contained in Section 4(a)(2) of the Securities Act.</w:t>
      </w:r>
    </w:p>
    <w:p>
      <w:pPr>
        <w:spacing w:after="0" w:line="14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Of the gross proceeds received from the Initial Public Offering and the sale of the Private Placement Warrants, $414,000,000 was placed in the Trust Account.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paid a total of $8,280,000 underwriting discounts and commissions and $583,182 for other costs and expenses related to the Initial Public Offering.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underwriters agreed to defer $14,490,000 in underwriting discounts and commissions.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Quarterly Report.</w:t>
      </w:r>
    </w:p>
    <w:p>
      <w:pPr>
        <w:spacing w:after="0" w:line="24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9840" w:type="dxa"/>
            <w:vAlign w:val="bottom"/>
            <w:tcBorders>
              <w:bottom w:val="single" w:sz="8" w:color="auto"/>
            </w:tcBorders>
            <w:gridSpan w:val="1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9160" w:type="dxa"/>
            <w:vAlign w:val="bottom"/>
            <w:tcBorders>
              <w:bottom w:val="single" w:sz="8" w:color="0000EE"/>
            </w:tcBorders>
            <w:gridSpan w:val="7"/>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Underwriting Agreement, dated June 8, 2020, by and among the Company and Citigroup Global Markets Inc. and J.P. Morgan</w:t>
              </w:r>
            </w:hyperlink>
          </w:p>
        </w:tc>
        <w:tc>
          <w:tcPr>
            <w:tcW w:w="680" w:type="dxa"/>
            <w:vAlign w:val="bottom"/>
            <w:gridSpan w:val="7"/>
          </w:tcPr>
          <w:p>
            <w:pPr>
              <w:spacing w:after="0"/>
              <w:rPr>
                <w:sz w:val="23"/>
                <w:szCs w:val="23"/>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Securities LLC, as representatives of the several underwriters. (1)</w:t>
              </w:r>
            </w:hyperlink>
          </w:p>
        </w:tc>
        <w:tc>
          <w:tcPr>
            <w:tcW w:w="5100" w:type="dxa"/>
            <w:vAlign w:val="bottom"/>
            <w:gridSpan w:val="8"/>
          </w:tcPr>
          <w:p>
            <w:pPr>
              <w:spacing w:after="0"/>
              <w:rPr>
                <w:sz w:val="17"/>
                <w:szCs w:val="17"/>
                <w:color w:val="auto"/>
              </w:rPr>
            </w:pPr>
          </w:p>
        </w:tc>
      </w:tr>
      <w:tr>
        <w:trPr>
          <w:trHeight w:val="345"/>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rPr>
              <w:t>3.1</w:t>
            </w:r>
          </w:p>
        </w:tc>
        <w:tc>
          <w:tcPr>
            <w:tcW w:w="9840" w:type="dxa"/>
            <w:vAlign w:val="bottom"/>
            <w:gridSpan w:val="14"/>
          </w:tcPr>
          <w:p>
            <w:pPr>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Amended and Restated Certificate of Incorporation. (1)</w:t>
              </w:r>
            </w:hyperlink>
          </w:p>
        </w:tc>
      </w:tr>
      <w:tr>
        <w:trPr>
          <w:trHeight w:val="283"/>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rPr>
              <w:t>4.1</w:t>
            </w:r>
          </w:p>
        </w:tc>
        <w:tc>
          <w:tcPr>
            <w:tcW w:w="9600" w:type="dxa"/>
            <w:vAlign w:val="bottom"/>
            <w:tcBorders>
              <w:bottom w:val="single" w:sz="8" w:color="0000EE"/>
            </w:tcBorders>
            <w:gridSpan w:val="11"/>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Warrant Agreement, dated June 8, 2020, by and between the Company and Continental Stock Transfer &amp; Trust Company, as warrant</w:t>
              </w:r>
            </w:hyperlink>
          </w:p>
        </w:tc>
        <w:tc>
          <w:tcPr>
            <w:tcW w:w="240" w:type="dxa"/>
            <w:vAlign w:val="bottom"/>
            <w:gridSpan w:val="3"/>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0">
              <w:r>
                <w:rPr>
                  <w:rFonts w:ascii="Arial" w:cs="Arial" w:eastAsia="Arial" w:hAnsi="Arial"/>
                  <w:sz w:val="18"/>
                  <w:szCs w:val="18"/>
                  <w:color w:val="0000EE"/>
                  <w:w w:val="88"/>
                </w:rPr>
                <w:t>agent. (1)</w:t>
              </w:r>
            </w:hyperlink>
          </w:p>
        </w:tc>
        <w:tc>
          <w:tcPr>
            <w:tcW w:w="9140" w:type="dxa"/>
            <w:vAlign w:val="bottom"/>
            <w:gridSpan w:val="13"/>
          </w:tcPr>
          <w:p>
            <w:pPr>
              <w:spacing w:after="0"/>
              <w:rPr>
                <w:sz w:val="17"/>
                <w:szCs w:val="17"/>
                <w:color w:val="auto"/>
              </w:rPr>
            </w:pPr>
          </w:p>
        </w:tc>
      </w:tr>
      <w:tr>
        <w:trPr>
          <w:trHeight w:val="345"/>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10.1</w:t>
            </w:r>
          </w:p>
        </w:tc>
        <w:tc>
          <w:tcPr>
            <w:tcW w:w="9840" w:type="dxa"/>
            <w:vAlign w:val="bottom"/>
            <w:gridSpan w:val="14"/>
          </w:tcPr>
          <w:p>
            <w:pPr>
              <w:spacing w:after="0"/>
              <w:rPr>
                <w:rFonts w:ascii="Arial" w:cs="Arial" w:eastAsia="Arial" w:hAnsi="Arial"/>
                <w:sz w:val="18"/>
                <w:szCs w:val="18"/>
                <w:u w:val="single" w:color="auto"/>
                <w:color w:val="0000EE"/>
                <w:w w:val="95"/>
              </w:rPr>
            </w:pPr>
            <w:hyperlink r:id="rId41">
              <w:r>
                <w:rPr>
                  <w:rFonts w:ascii="Arial" w:cs="Arial" w:eastAsia="Arial" w:hAnsi="Arial"/>
                  <w:sz w:val="18"/>
                  <w:szCs w:val="18"/>
                  <w:u w:val="single" w:color="auto"/>
                  <w:color w:val="0000EE"/>
                  <w:w w:val="95"/>
                </w:rPr>
                <w:t>Letter Agreement, dated June 8, 2020, by and among the Company, its executive officers, its directors and HEC Sponsor LLC. (1)</w:t>
              </w:r>
            </w:hyperlink>
          </w:p>
        </w:tc>
      </w:tr>
      <w:tr>
        <w:trPr>
          <w:trHeight w:val="283"/>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10.2</w:t>
            </w:r>
          </w:p>
        </w:tc>
        <w:tc>
          <w:tcPr>
            <w:tcW w:w="9660" w:type="dxa"/>
            <w:vAlign w:val="bottom"/>
            <w:tcBorders>
              <w:bottom w:val="single" w:sz="8" w:color="0000EE"/>
            </w:tcBorders>
            <w:gridSpan w:val="12"/>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Investment Management Trust Agreement, dated June 8, 2020, by and between the Company and Continental Stock Transfer &amp; Trust</w:t>
              </w:r>
            </w:hyperlink>
          </w:p>
        </w:tc>
        <w:tc>
          <w:tcPr>
            <w:tcW w:w="180" w:type="dxa"/>
            <w:vAlign w:val="bottom"/>
            <w:gridSpan w:val="2"/>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Company, as trustee. (1)</w:t>
              </w:r>
            </w:hyperlink>
          </w:p>
        </w:tc>
        <w:tc>
          <w:tcPr>
            <w:tcW w:w="8080" w:type="dxa"/>
            <w:vAlign w:val="bottom"/>
            <w:gridSpan w:val="10"/>
          </w:tcPr>
          <w:p>
            <w:pPr>
              <w:spacing w:after="0"/>
              <w:rPr>
                <w:sz w:val="17"/>
                <w:szCs w:val="17"/>
                <w:color w:val="auto"/>
              </w:rPr>
            </w:pPr>
          </w:p>
        </w:tc>
      </w:tr>
      <w:tr>
        <w:trPr>
          <w:trHeight w:val="304"/>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10.3</w:t>
            </w:r>
          </w:p>
        </w:tc>
        <w:tc>
          <w:tcPr>
            <w:tcW w:w="9280" w:type="dxa"/>
            <w:vAlign w:val="bottom"/>
            <w:tcBorders>
              <w:bottom w:val="single" w:sz="8" w:color="0000EE"/>
            </w:tcBorders>
            <w:gridSpan w:val="8"/>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Registration Rights Agreement, dated June 8, 2020, by and among the Company, HEC Sponsor LLC and the other holders party</w:t>
              </w:r>
            </w:hyperlink>
          </w:p>
        </w:tc>
        <w:tc>
          <w:tcPr>
            <w:tcW w:w="560" w:type="dxa"/>
            <w:vAlign w:val="bottom"/>
            <w:gridSpan w:val="6"/>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thereto. (1)</w:t>
              </w:r>
            </w:hyperlink>
          </w:p>
        </w:tc>
      </w:tr>
      <w:tr>
        <w:trPr>
          <w:trHeight w:val="20"/>
        </w:trPr>
        <w:tc>
          <w:tcPr>
            <w:tcW w:w="118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10.4</w:t>
            </w:r>
          </w:p>
        </w:tc>
        <w:tc>
          <w:tcPr>
            <w:tcW w:w="9840" w:type="dxa"/>
            <w:vAlign w:val="bottom"/>
            <w:gridSpan w:val="14"/>
          </w:tcPr>
          <w:p>
            <w:pPr>
              <w:spacing w:after="0"/>
              <w:rPr>
                <w:rFonts w:ascii="Arial" w:cs="Arial" w:eastAsia="Arial" w:hAnsi="Arial"/>
                <w:sz w:val="18"/>
                <w:szCs w:val="18"/>
                <w:u w:val="single" w:color="auto"/>
                <w:color w:val="0000EE"/>
                <w:w w:val="96"/>
              </w:rPr>
            </w:pPr>
            <w:hyperlink r:id="rId44">
              <w:r>
                <w:rPr>
                  <w:rFonts w:ascii="Arial" w:cs="Arial" w:eastAsia="Arial" w:hAnsi="Arial"/>
                  <w:sz w:val="18"/>
                  <w:szCs w:val="18"/>
                  <w:u w:val="single" w:color="auto"/>
                  <w:color w:val="0000EE"/>
                  <w:w w:val="96"/>
                </w:rPr>
                <w:t>Private Placement Warrants Purchase Agreement, dated June 8, 2020, by and among the Company and HEC Sponsor LLC. (1)</w:t>
              </w:r>
            </w:hyperlink>
          </w:p>
        </w:tc>
      </w:tr>
      <w:tr>
        <w:trPr>
          <w:trHeight w:val="324"/>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10.5</w:t>
            </w:r>
          </w:p>
        </w:tc>
        <w:tc>
          <w:tcPr>
            <w:tcW w:w="9840" w:type="dxa"/>
            <w:vAlign w:val="bottom"/>
            <w:gridSpan w:val="14"/>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Administrative Services Agreement, dated June 8, 2020, by and between the Company and HEC Sponsor LLC. (1)</w:t>
              </w:r>
            </w:hyperlink>
          </w:p>
        </w:tc>
      </w:tr>
      <w:tr>
        <w:trPr>
          <w:trHeight w:val="324"/>
        </w:trPr>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10.6</w:t>
            </w:r>
          </w:p>
        </w:tc>
        <w:tc>
          <w:tcPr>
            <w:tcW w:w="9840" w:type="dxa"/>
            <w:vAlign w:val="bottom"/>
            <w:gridSpan w:val="14"/>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Forward Purchase Agreement, dated June 8, 2020, by and between the Company and HEC Master Fund LP. (1)</w:t>
              </w:r>
            </w:hyperlink>
          </w:p>
        </w:tc>
      </w:tr>
      <w:tr>
        <w:trPr>
          <w:trHeight w:val="283"/>
        </w:trPr>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90"/>
              </w:rPr>
              <w:t>31.1*</w:t>
            </w:r>
          </w:p>
        </w:tc>
        <w:tc>
          <w:tcPr>
            <w:tcW w:w="9840" w:type="dxa"/>
            <w:vAlign w:val="bottom"/>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of Principal Executive Officer Pursuant to Securities Exchange Act Rules 13a-14(a) and 15(d)-14(a), as adopted Pursuant</w:t>
              </w:r>
            </w:hyperlink>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to Section 302 of the Sarbanes-Oxley Act of 2002</w:t>
              </w:r>
            </w:hyperlink>
          </w:p>
        </w:tc>
        <w:tc>
          <w:tcPr>
            <w:tcW w:w="14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w w:val="90"/>
              </w:rPr>
              <w:t>31.2*</w:t>
            </w:r>
          </w:p>
        </w:tc>
        <w:tc>
          <w:tcPr>
            <w:tcW w:w="96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Certification of Principal Financial Officer Pursuant to Securities Exchange Act Rules 13a-14(a) and 15(d)-14(a), as adopted Pursuant</w:t>
              </w:r>
            </w:hyperlink>
          </w:p>
        </w:tc>
        <w:tc>
          <w:tcPr>
            <w:tcW w:w="180" w:type="dxa"/>
            <w:vAlign w:val="bottom"/>
            <w:gridSpan w:val="2"/>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to Section 302 of the Sarbanes-Oxley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04"/>
        </w:trPr>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32.1**</w:t>
            </w: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80" w:type="dxa"/>
            <w:vAlign w:val="bottom"/>
            <w:gridSpan w:val="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18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04"/>
        </w:trPr>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32.2**</w:t>
            </w:r>
          </w:p>
        </w:tc>
        <w:tc>
          <w:tcPr>
            <w:tcW w:w="9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20" w:type="dxa"/>
            <w:vAlign w:val="bottom"/>
            <w:gridSpan w:val="5"/>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r>
      <w:tr>
        <w:trPr>
          <w:trHeight w:val="20"/>
        </w:trPr>
        <w:tc>
          <w:tcPr>
            <w:tcW w:w="118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500" w:type="dxa"/>
            <w:vAlign w:val="bottom"/>
            <w:gridSpan w:val="11"/>
          </w:tcPr>
          <w:p>
            <w:pPr>
              <w:spacing w:after="0" w:line="20" w:lineRule="exact"/>
              <w:rPr>
                <w:sz w:val="1"/>
                <w:szCs w:val="1"/>
                <w:color w:val="auto"/>
              </w:rPr>
            </w:pPr>
          </w:p>
        </w:tc>
      </w:tr>
      <w:tr>
        <w:trPr>
          <w:trHeight w:val="345"/>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9"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June 11, 2020 and incorporated by reference herein.</w:t>
      </w:r>
    </w:p>
    <w:p>
      <w:pPr>
        <w:sectPr>
          <w:pgSz w:w="11900" w:h="16838" w:orient="portrait"/>
          <w:cols w:equalWidth="0" w:num="1">
            <w:col w:w="11140"/>
          </w:cols>
          <w:pgMar w:left="320" w:top="459" w:right="43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14,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G. Bergeron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Douglas G. Bergeron</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160" w:type="dxa"/>
            <w:vAlign w:val="bottom"/>
          </w:tcPr>
          <w:p>
            <w:pPr>
              <w:spacing w:after="0"/>
              <w:rPr>
                <w:sz w:val="20"/>
                <w:szCs w:val="20"/>
                <w:color w:val="auto"/>
              </w:rPr>
            </w:pPr>
            <w:r>
              <w:rPr>
                <w:rFonts w:ascii="Arial" w:cs="Arial" w:eastAsia="Arial" w:hAnsi="Arial"/>
                <w:sz w:val="18"/>
                <w:szCs w:val="18"/>
                <w:color w:val="auto"/>
              </w:rPr>
              <w:t>Date: August 14,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Dobres</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Jonathan Dobres</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6160" w:type="dxa"/>
            <w:vAlign w:val="bottom"/>
          </w:tcPr>
          <w:p>
            <w:pPr>
              <w:ind w:left="5420"/>
              <w:spacing w:after="0"/>
              <w:rPr>
                <w:sz w:val="20"/>
                <w:szCs w:val="20"/>
                <w:color w:val="auto"/>
              </w:rPr>
            </w:pPr>
            <w:r>
              <w:rPr>
                <w:rFonts w:ascii="Arial" w:cs="Arial" w:eastAsia="Arial" w:hAnsi="Arial"/>
                <w:sz w:val="18"/>
                <w:szCs w:val="18"/>
                <w:color w:val="auto"/>
              </w:rPr>
              <w:t>21</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G. Bergeron, certify that:</w:t>
      </w:r>
    </w:p>
    <w:p>
      <w:pPr>
        <w:spacing w:after="0" w:line="13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Hudson Executive Investment Corp.;</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500" w:hanging="439"/>
        <w:spacing w:after="0" w:line="263"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Douglas G. Bergeron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Dobres, certify that:</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Hudson Executive Investment Corp.;</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500" w:hanging="439"/>
        <w:spacing w:after="0" w:line="263"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Jonathan Dobres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Hudson Executive Investment Corp. (the “Company”) on Form 10-Q for the quarterly period ended June 30, 2020, as filed with the Securities and Exchange Commission (the “Report”), I, Douglas G. Bergeron,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Douglas G. Bergeron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Hudson Executive Investment Corp. (the “Company”) on Form 10-Q for the quarterly period ended June 30, 2020, as filed with the Securities and Exchange Commission (the “Report”), I, Jonathan Dobres,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Jonathan Dobres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38" Type="http://schemas.openxmlformats.org/officeDocument/2006/relationships/hyperlink" Target="http://www.sec.gov/Archives/edgar/data/1803901/000119312520166711/d937996dex11.htm" TargetMode="External"/><Relationship Id="rId39" Type="http://schemas.openxmlformats.org/officeDocument/2006/relationships/hyperlink" Target="http://www.sec.gov/Archives/edgar/data/1803901/000119312520166711/d937996dex31.htm" TargetMode="External"/><Relationship Id="rId40" Type="http://schemas.openxmlformats.org/officeDocument/2006/relationships/hyperlink" Target="http://www.sec.gov/Archives/edgar/data/1803901/000119312520166711/d937996dex41.htm" TargetMode="External"/><Relationship Id="rId41" Type="http://schemas.openxmlformats.org/officeDocument/2006/relationships/hyperlink" Target="http://www.sec.gov/Archives/edgar/data/1803901/000119312520166711/d937996dex101.htm" TargetMode="External"/><Relationship Id="rId42" Type="http://schemas.openxmlformats.org/officeDocument/2006/relationships/hyperlink" Target="http://www.sec.gov/Archives/edgar/data/1803901/000119312520166711/d937996dex102.htm" TargetMode="External"/><Relationship Id="rId43" Type="http://schemas.openxmlformats.org/officeDocument/2006/relationships/hyperlink" Target="http://www.sec.gov/Archives/edgar/data/1803901/000119312520166711/d937996dex103.htm" TargetMode="External"/><Relationship Id="rId44" Type="http://schemas.openxmlformats.org/officeDocument/2006/relationships/hyperlink" Target="http://www.sec.gov/Archives/edgar/data/1803901/000119312520166711/d937996dex104.htm" TargetMode="External"/><Relationship Id="rId45" Type="http://schemas.openxmlformats.org/officeDocument/2006/relationships/hyperlink" Target="http://www.sec.gov/Archives/edgar/data/1803901/000119312520166711/d937996dex105.htm" TargetMode="External"/><Relationship Id="rId46" Type="http://schemas.openxmlformats.org/officeDocument/2006/relationships/hyperlink" Target="http://www.sec.gov/Archives/edgar/data/1803901/000119312520166711/d937996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2020-08-14T15:29:05Z</dcterms:created>
  <dcterms:modified xsi:type="dcterms:W3CDTF">2020-08-14T15:29:05Z</dcterms:modified>
</cp:coreProperties>
</file>