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89"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5" w:lineRule="exact"/>
        <w:rPr>
          <w:sz w:val="24"/>
          <w:szCs w:val="24"/>
          <w:color w:val="auto"/>
        </w:rPr>
      </w:pPr>
    </w:p>
    <w:tbl>
      <w:tblPr>
        <w:tblLayout w:type="fixed"/>
        <w:tblInd w:w="1520" w:type="dxa"/>
        <w:tblCellMar>
          <w:top w:w="0" w:type="dxa"/>
          <w:left w:w="0" w:type="dxa"/>
          <w:bottom w:w="0" w:type="dxa"/>
          <w:right w:w="0" w:type="dxa"/>
        </w:tblCellMar>
      </w:tblPr>
      <w:tr>
        <w:trPr>
          <w:trHeight w:val="184"/>
        </w:trPr>
        <w:tc>
          <w:tcPr>
            <w:tcW w:w="4260" w:type="dxa"/>
            <w:vAlign w:val="bottom"/>
            <w:gridSpan w:val="2"/>
          </w:tcPr>
          <w:p>
            <w:pPr>
              <w:ind w:left="21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2120" w:type="dxa"/>
            <w:vAlign w:val="bottom"/>
          </w:tcPr>
          <w:p>
            <w:pPr>
              <w:spacing w:after="0"/>
              <w:rPr>
                <w:sz w:val="16"/>
                <w:szCs w:val="16"/>
                <w:color w:val="auto"/>
              </w:rPr>
            </w:pPr>
          </w:p>
        </w:tc>
      </w:tr>
      <w:tr>
        <w:trPr>
          <w:trHeight w:val="298"/>
        </w:trPr>
        <w:tc>
          <w:tcPr>
            <w:tcW w:w="2940" w:type="dxa"/>
            <w:vAlign w:val="bottom"/>
          </w:tcPr>
          <w:p>
            <w:pPr>
              <w:spacing w:after="0"/>
              <w:rPr>
                <w:sz w:val="24"/>
                <w:szCs w:val="24"/>
                <w:color w:val="auto"/>
              </w:rPr>
            </w:pPr>
          </w:p>
        </w:tc>
        <w:tc>
          <w:tcPr>
            <w:tcW w:w="5260" w:type="dxa"/>
            <w:vAlign w:val="bottom"/>
            <w:gridSpan w:val="6"/>
          </w:tcPr>
          <w:p>
            <w:pPr>
              <w:jc w:val="center"/>
              <w:ind w:right="2848"/>
              <w:spacing w:after="0"/>
              <w:rPr>
                <w:sz w:val="20"/>
                <w:szCs w:val="20"/>
                <w:color w:val="auto"/>
              </w:rPr>
            </w:pPr>
            <w:r>
              <w:rPr>
                <w:rFonts w:ascii="Times New Roman" w:cs="Times New Roman" w:eastAsia="Times New Roman" w:hAnsi="Times New Roman"/>
                <w:sz w:val="16"/>
                <w:szCs w:val="16"/>
                <w:b w:val="1"/>
                <w:bCs w:val="1"/>
                <w:color w:val="auto"/>
              </w:rPr>
              <w:t>Commission File No. 001-39314</w:t>
            </w:r>
          </w:p>
        </w:tc>
      </w:tr>
      <w:tr>
        <w:trPr>
          <w:trHeight w:val="195"/>
        </w:trPr>
        <w:tc>
          <w:tcPr>
            <w:tcW w:w="29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491"/>
        </w:trPr>
        <w:tc>
          <w:tcPr>
            <w:tcW w:w="8200" w:type="dxa"/>
            <w:vAlign w:val="bottom"/>
            <w:gridSpan w:val="7"/>
          </w:tcPr>
          <w:p>
            <w:pPr>
              <w:jc w:val="center"/>
              <w:spacing w:after="0"/>
              <w:rPr>
                <w:sz w:val="20"/>
                <w:szCs w:val="20"/>
                <w:color w:val="auto"/>
              </w:rPr>
            </w:pPr>
            <w:r>
              <w:rPr>
                <w:rFonts w:ascii="Times New Roman" w:cs="Times New Roman" w:eastAsia="Times New Roman" w:hAnsi="Times New Roman"/>
                <w:sz w:val="40"/>
                <w:szCs w:val="40"/>
                <w:b w:val="1"/>
                <w:bCs w:val="1"/>
                <w:color w:val="auto"/>
                <w:w w:val="98"/>
              </w:rPr>
              <w:t>HUDSON EXECUTIVE INVESTMENT CORP.</w:t>
            </w:r>
          </w:p>
        </w:tc>
      </w:tr>
      <w:tr>
        <w:trPr>
          <w:trHeight w:val="212"/>
        </w:trPr>
        <w:tc>
          <w:tcPr>
            <w:tcW w:w="8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08"/>
        </w:trPr>
        <w:tc>
          <w:tcPr>
            <w:tcW w:w="29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93"/>
        </w:trPr>
        <w:tc>
          <w:tcPr>
            <w:tcW w:w="5060" w:type="dxa"/>
            <w:vAlign w:val="bottom"/>
            <w:gridSpan w:val="3"/>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gridSpan w:val="4"/>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rPr>
              <w:t>84-4636604</w:t>
            </w:r>
          </w:p>
        </w:tc>
      </w:tr>
      <w:tr>
        <w:trPr>
          <w:trHeight w:val="149"/>
        </w:trPr>
        <w:tc>
          <w:tcPr>
            <w:tcW w:w="5060" w:type="dxa"/>
            <w:vAlign w:val="bottom"/>
            <w:gridSpan w:val="3"/>
          </w:tcPr>
          <w:p>
            <w:pPr>
              <w:jc w:val="center"/>
              <w:ind w:right="23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60" w:type="dxa"/>
            <w:vAlign w:val="bottom"/>
            <w:gridSpan w:val="3"/>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4"/>
        </w:trPr>
        <w:tc>
          <w:tcPr>
            <w:tcW w:w="8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570 Lexington Avenue, 35th Floor</w:t>
            </w:r>
          </w:p>
        </w:tc>
      </w:tr>
      <w:tr>
        <w:trPr>
          <w:trHeight w:val="194"/>
        </w:trPr>
        <w:tc>
          <w:tcPr>
            <w:tcW w:w="2940" w:type="dxa"/>
            <w:vAlign w:val="bottom"/>
          </w:tcPr>
          <w:p>
            <w:pPr>
              <w:spacing w:after="0"/>
              <w:rPr>
                <w:sz w:val="16"/>
                <w:szCs w:val="16"/>
                <w:color w:val="auto"/>
              </w:rPr>
            </w:pPr>
          </w:p>
        </w:tc>
        <w:tc>
          <w:tcPr>
            <w:tcW w:w="212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New York, New York 10022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90"/>
        </w:trPr>
        <w:tc>
          <w:tcPr>
            <w:tcW w:w="8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228"/>
        </w:trPr>
        <w:tc>
          <w:tcPr>
            <w:tcW w:w="5060" w:type="dxa"/>
            <w:vAlign w:val="bottom"/>
            <w:gridSpan w:val="3"/>
          </w:tcPr>
          <w:p>
            <w:pPr>
              <w:jc w:val="center"/>
              <w:ind w:left="3072"/>
              <w:spacing w:after="0"/>
              <w:rPr>
                <w:sz w:val="20"/>
                <w:szCs w:val="20"/>
                <w:color w:val="auto"/>
              </w:rPr>
            </w:pPr>
            <w:r>
              <w:rPr>
                <w:rFonts w:ascii="Times New Roman" w:cs="Times New Roman" w:eastAsia="Times New Roman" w:hAnsi="Times New Roman"/>
                <w:sz w:val="16"/>
                <w:szCs w:val="16"/>
                <w:b w:val="1"/>
                <w:bCs w:val="1"/>
                <w:color w:val="auto"/>
              </w:rPr>
              <w:t>(212) 521-8495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190"/>
        </w:trPr>
        <w:tc>
          <w:tcPr>
            <w:tcW w:w="8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28"/>
        </w:trPr>
        <w:tc>
          <w:tcPr>
            <w:tcW w:w="2940" w:type="dxa"/>
            <w:vAlign w:val="bottom"/>
          </w:tcPr>
          <w:p>
            <w:pPr>
              <w:spacing w:after="0"/>
              <w:rPr>
                <w:sz w:val="19"/>
                <w:szCs w:val="19"/>
                <w:color w:val="auto"/>
              </w:rPr>
            </w:pPr>
          </w:p>
        </w:tc>
        <w:tc>
          <w:tcPr>
            <w:tcW w:w="212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N/A</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190"/>
        </w:trPr>
        <w:tc>
          <w:tcPr>
            <w:tcW w:w="8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185"/>
        </w:trPr>
        <w:tc>
          <w:tcPr>
            <w:tcW w:w="29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58"/>
        </w:trPr>
        <w:tc>
          <w:tcPr>
            <w:tcW w:w="8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bl>
    <w:p>
      <w:pPr>
        <w:spacing w:after="0" w:line="50"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34"/>
        </w:trPr>
        <w:tc>
          <w:tcPr>
            <w:tcW w:w="374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Units, each consisting of one share of Class A common</w:t>
            </w:r>
          </w:p>
        </w:tc>
        <w:tc>
          <w:tcPr>
            <w:tcW w:w="120" w:type="dxa"/>
            <w:vAlign w:val="bottom"/>
          </w:tcPr>
          <w:p>
            <w:pPr>
              <w:spacing w:after="0"/>
              <w:rPr>
                <w:sz w:val="11"/>
                <w:szCs w:val="11"/>
                <w:color w:val="auto"/>
              </w:rPr>
            </w:pPr>
          </w:p>
        </w:tc>
        <w:tc>
          <w:tcPr>
            <w:tcW w:w="35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HECCU</w:t>
            </w:r>
          </w:p>
        </w:tc>
        <w:tc>
          <w:tcPr>
            <w:tcW w:w="100" w:type="dxa"/>
            <w:vAlign w:val="bottom"/>
          </w:tcPr>
          <w:p>
            <w:pPr>
              <w:spacing w:after="0"/>
              <w:rPr>
                <w:sz w:val="11"/>
                <w:szCs w:val="11"/>
                <w:color w:val="auto"/>
              </w:rPr>
            </w:pPr>
          </w:p>
        </w:tc>
        <w:tc>
          <w:tcPr>
            <w:tcW w:w="354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The Nasdaq Stock Market LLC</w:t>
            </w: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stock and one-half of one redeemable warrant</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Class A common stock, par value $0.0001 per share</w:t>
            </w:r>
          </w:p>
        </w:tc>
        <w:tc>
          <w:tcPr>
            <w:tcW w:w="3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w w:val="98"/>
              </w:rPr>
              <w:t>HEC</w:t>
            </w:r>
          </w:p>
        </w:tc>
        <w:tc>
          <w:tcPr>
            <w:tcW w:w="35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The Nasdaq Stock Market LLC</w:t>
            </w: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Warrants, each whole warrant exercisable for one share</w:t>
            </w:r>
          </w:p>
        </w:tc>
        <w:tc>
          <w:tcPr>
            <w:tcW w:w="3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HECCW</w:t>
            </w:r>
          </w:p>
        </w:tc>
        <w:tc>
          <w:tcPr>
            <w:tcW w:w="35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The Nasdaq Stock Market LLC</w:t>
            </w:r>
          </w:p>
        </w:tc>
        <w:tc>
          <w:tcPr>
            <w:tcW w:w="0" w:type="dxa"/>
            <w:vAlign w:val="bottom"/>
          </w:tcPr>
          <w:p>
            <w:pPr>
              <w:spacing w:after="0"/>
              <w:rPr>
                <w:sz w:val="1"/>
                <w:szCs w:val="1"/>
                <w:color w:val="auto"/>
              </w:rPr>
            </w:pPr>
          </w:p>
        </w:tc>
      </w:tr>
      <w:tr>
        <w:trPr>
          <w:trHeight w:val="162"/>
        </w:trPr>
        <w:tc>
          <w:tcPr>
            <w:tcW w:w="3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of Class A common stock, each at an exercise price of</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$11.50 per share</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20" w:right="44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0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6" w:right="439" w:bottom="1440" w:gutter="0" w:footer="0" w:header="0"/>
        </w:sectPr>
      </w:pPr>
    </w:p>
    <w:p>
      <w:pPr>
        <w:spacing w:after="0" w:line="43"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23"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59"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55" w:lineRule="exact"/>
        <w:rPr>
          <w:sz w:val="24"/>
          <w:szCs w:val="24"/>
          <w:color w:val="auto"/>
        </w:rPr>
      </w:pPr>
    </w:p>
    <w:p>
      <w:pPr>
        <w:ind w:left="120" w:right="14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60"/>
        <w:spacing w:after="0" w:line="161" w:lineRule="exact"/>
        <w:tabs>
          <w:tab w:leader="none" w:pos="720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As of November 16, 2020, 41,400,000 Class A ordinary shares, $0.0001 par value, and 10,350,000 Class B ordinary shares, $0.0001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700" w:space="300"/>
            <w:col w:w="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066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Financial Statements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Balance Sheet as of September 30, 2020</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964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Condensed Statements of Operations for the Three Months Ended September 30, 2020 and for the Period from February 6,</w:t>
              </w:r>
            </w:hyperlink>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2020 (Inception) Through September 30, 2020</w:t>
              </w:r>
            </w:hyperlink>
          </w:p>
        </w:tc>
        <w:tc>
          <w:tcPr>
            <w:tcW w:w="62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00" w:type="dxa"/>
            <w:vAlign w:val="bottom"/>
            <w:gridSpan w:val="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Statement of Changes in Stockholders’ Equity for the Period from February 6, 2020 (Inception) Through</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30, 2020</w:t>
              </w:r>
            </w:hyperlink>
          </w:p>
        </w:tc>
        <w:tc>
          <w:tcPr>
            <w:tcW w:w="6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1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spacing w:after="0"/>
              <w:rPr>
                <w:sz w:val="18"/>
                <w:szCs w:val="18"/>
                <w:color w:val="auto"/>
              </w:rPr>
            </w:pP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Condensed Statement of Cash Flows for the Period from February 6, 2020 (Inception) Through September 30, 2020</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Financial Statements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Control and Procedures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Defaults Upon Senior Securities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Mine Safety Disclosures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Other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6"/>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Exhibits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22">
              <w:r>
                <w:rPr>
                  <w:rFonts w:ascii="Times New Roman" w:cs="Times New Roman" w:eastAsia="Times New Roman" w:hAnsi="Times New Roman"/>
                  <w:sz w:val="18"/>
                  <w:szCs w:val="18"/>
                  <w:b w:val="1"/>
                  <w:bCs w:val="1"/>
                  <w:u w:val="single" w:color="auto"/>
                  <w:color w:val="0000EE"/>
                </w:rPr>
                <w:t>SIGNATURES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64"/>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002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1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HUDSON EXECUTIVE INVESTMENT CORP.</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1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1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4"/>
              </w:rPr>
              <w:t>Cash</w:t>
            </w: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1,207,252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414,154,419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415,525,414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111,667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18,428</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99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14,490,000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14,620,095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subject to possible redemption, 39,590,531 shares at $10.00 per share redemption value</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395,905,310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99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380,000,000 shares authorized; 1,809,469 shares issued and outstanding (excluding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39,590,531 shares subject to possible redemption)</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 $0.0001 par value; 20,000,000 shares authorized; 10,350,000 shares issued and outstanding</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5,045,292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(46,499)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415,525,414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February 6,</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(118,542)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126,856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154,419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(28,071)</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(10,114)</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(46,499)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41,400,000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income per share, Class A redeemable common stock</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non-redeemable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10,350,000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 non-redeemable common stock</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(0.01)</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940"/>
        <w:spacing w:after="0" w:line="265" w:lineRule="auto"/>
        <w:rPr>
          <w:sz w:val="20"/>
          <w:szCs w:val="20"/>
          <w:color w:val="auto"/>
        </w:rPr>
      </w:pPr>
      <w:r>
        <w:rPr>
          <w:rFonts w:ascii="Times New Roman" w:cs="Times New Roman" w:eastAsia="Times New Roman" w:hAnsi="Times New Roman"/>
          <w:sz w:val="18"/>
          <w:szCs w:val="18"/>
          <w:b w:val="1"/>
          <w:bCs w:val="1"/>
          <w:color w:val="auto"/>
        </w:rPr>
        <w:t>HUDSON EXECUTIVE INVESTMENT CORP. CONDENSED STATEMENT OF CHANGES IN STOCKHOLDERS’ EQUITY FOR THE PERIOD FEBRUARY 6, 2020 (INCEPTION) THROUGH SEPTEMBER 30, 2020 (Unaudited)</w:t>
      </w: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04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16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0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February 6, 2020 (Inception)</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common stock to Sponsor</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10,350,000</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10,350,000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41,400,000 Units, net of underwriting</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41,400,000</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4,140</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390,642,678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390,646,818</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10,280,000 Private Placement</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10,280,000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10,280,000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(39,591,543)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(3,959)</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(395,911,471)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(395,915,430)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(35,385)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1,808,457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181</w:t>
            </w: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10,350,000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1,035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5,035,172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(36,385)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5,000,003</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value of common stock subject to</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(10,114)</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1,809,469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181</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10,350,000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5,045,292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(46,499</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58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120" w:type="dxa"/>
            <w:vAlign w:val="bottom"/>
          </w:tcPr>
          <w:p>
            <w:pPr>
              <w:spacing w:after="0"/>
              <w:rPr>
                <w:sz w:val="24"/>
                <w:szCs w:val="24"/>
                <w:color w:val="auto"/>
              </w:rPr>
            </w:pPr>
          </w:p>
        </w:tc>
        <w:tc>
          <w:tcPr>
            <w:tcW w:w="94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HUDSON EXECUTIVE INVESTMENT CORP.</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STATEMENT OF CASH FLOWS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FOR THE PERIOD FEBRUARY 6, 2020 (INCEPTION) THROUGH SEPTEMBER 30, 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94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(46,499)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(154,419)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Formation costs paid by Sponsor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111,667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18,428</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of cash into Trust Account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(414,000,000)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(414,000,000)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discounts paid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405,720,000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(430,701)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415,439,693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1,207,252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1,207,252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classification of common stock subject to possible redemption</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395,946,830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value of common stock subject to possible redemption</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14,490,000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offering costs paid directly by Sponsor in consideration for the issuance of Class B common stock</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 through promissory note — related party</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127,481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Hudson Executive Investment Corp. (the “Company”) was incorporated in Delaware on February 6, 2020. The Company was formed for the purpose of entering into a merger, capital stock exchange, asset acquisition, stock purchase, reorganization or similar business combination with one or more businesses (the “Business Combination”).</w:t>
      </w:r>
    </w:p>
    <w:p>
      <w:pPr>
        <w:spacing w:after="0" w:line="176"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4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All activity for the period from February 6, 2020 (inception) through September 30, 2020 relates to the Company’s formation, its initial public offering (“Initial Public Offering”), which is described below, and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 The Company has selected December 31 as its fiscal year end.</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June 8, 2020. On June 11, 2020, the Company consummated the Initial Public Offering of 41,400,000 units (the “Units” and, with respect to the shares of Class A common stock included in the Units sold, the “Public Shares”), which includes the full exercise by the underwriter of the over-allotment option to purchase an additional 5,400,000 Units, at $10.00 per Unit, generating gross proceeds of $414,000,000, which is described in Note 3.</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10,280,000 warrants (the “Private Placement Warrants”), at a price of $1.00 per Private Placement Warrant, in a private placement to HEC Sponsor LLC (the “Sponsor”), generating gross proceeds of $10,280,000, which is described in Note 4.</w:t>
      </w:r>
    </w:p>
    <w:p>
      <w:pPr>
        <w:spacing w:after="0" w:line="17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Transaction costs amounted to $23,353,182, consisting of $8,280,000 of underwriting fees, $14,490,000 of deferred underwriting fees and $583,182 of other offering costs. At September 30, 2020, cash of $1,207,252 was held outside of the Trust Account (as defined below) and is available for working capital purposes.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June 11, 2020, an amount of $414,000,000 ($10.00 per Unit) from the net proceeds of the sale of the Units in the Initial Public Offering and the sale of the Private Placement Warrants was placed in a trust account (“Trust Account”) which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funds held in the Trust Account, as described below.</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(excluding the deferred underwriting commissions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the Company has net tangible assets of at least $5,000,001 upon consummation of the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w:t>
      </w:r>
    </w:p>
    <w:p>
      <w:pPr>
        <w:sectPr>
          <w:pgSz w:w="11900" w:h="16838" w:orient="portrait"/>
          <w:cols w:equalWidth="0" w:num="1">
            <w:col w:w="11120"/>
          </w:cols>
          <w:pgMar w:left="320" w:top="455" w:right="45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120"/>
          </w:cols>
          <w:pgMar w:left="320" w:top="455" w:right="45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 or don’t vote at all.</w:t>
      </w:r>
    </w:p>
    <w:p>
      <w:pPr>
        <w:spacing w:after="0" w:line="18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(a) to waive their redemption rights with respect to their Founder Shares and Public Shares held by them in connection with the completion of a Business Combination and (b) not to propose an amendment to the Amended and Restated Certificate of Incorporation (i) to modify the substance or timing of the Company’s obligation to redeem 100% of its Public Shares if the Company does not complete a Business Combination within 24 months from the closing of the Initial Public Offering or (ii) with respect to any other provision relating to stockholders’ rights or pre-initial business combination activity, unless the Company provides the public stockholders with the opportunity to redeem their Public Shares in conjunction with any such amendment.</w:t>
      </w:r>
    </w:p>
    <w:p>
      <w:pPr>
        <w:spacing w:after="0" w:line="187" w:lineRule="exact"/>
        <w:rPr>
          <w:sz w:val="20"/>
          <w:szCs w:val="20"/>
          <w:color w:val="auto"/>
        </w:rPr>
      </w:pPr>
    </w:p>
    <w:p>
      <w:pPr>
        <w:ind w:left="120" w:right="120"/>
        <w:spacing w:after="0" w:line="270" w:lineRule="auto"/>
        <w:rPr>
          <w:sz w:val="20"/>
          <w:szCs w:val="20"/>
          <w:color w:val="auto"/>
        </w:rPr>
      </w:pPr>
      <w:r>
        <w:rPr>
          <w:rFonts w:ascii="Times New Roman" w:cs="Times New Roman" w:eastAsia="Times New Roman" w:hAnsi="Times New Roman"/>
          <w:sz w:val="17"/>
          <w:szCs w:val="17"/>
          <w:color w:val="auto"/>
        </w:rPr>
        <w:t>The Company will have until June 11, 2022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7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initial stockholders have agreed to waive their liquidation rights with respect to the Founder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(whether or not such waiver is enforceable) nor will it apply to any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final prospectus for its Initial Public Offering as filed with the SEC on June 10, 2020, (the “Final Prospectus”), as well as the Company’s Current Reports on Form 8-K, as filed with the SEC on June 11, 2020 and June 17, 2020. The interim results for the three months ended September 30, 2020 and for the period from February 6, 2020 (inception) through September 30, 2020 are not necessarily indicative of the results to be expected for the year ending December 31, 2020 or for any future interim periods.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w:t>
      </w:r>
    </w:p>
    <w:p>
      <w:pPr>
        <w:sectPr>
          <w:pgSz w:w="11900" w:h="16838" w:orient="portrait"/>
          <w:cols w:equalWidth="0" w:num="1">
            <w:col w:w="11140"/>
          </w:cols>
          <w:pgMar w:left="320" w:top="455" w:right="439" w:bottom="1440" w:gutter="0" w:footer="0" w:header="0"/>
        </w:sectPr>
      </w:pP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rights that are considered to be outside of the Company’s control and subject to occurrence of uncertain future events. Accordingly, at September 30, 2020, there are 39,590,531 shares of Class A common stock subject to possible redemption presented as temporary equity, outside of the stockholders’ equity section of the Company’s unaudited condensed balance sheet.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Costs</w:t>
      </w:r>
    </w:p>
    <w:p>
      <w:pPr>
        <w:spacing w:after="0" w:line="121" w:lineRule="exact"/>
        <w:rPr>
          <w:sz w:val="20"/>
          <w:szCs w:val="20"/>
          <w:color w:val="auto"/>
        </w:rPr>
      </w:pPr>
    </w:p>
    <w:p>
      <w:pPr>
        <w:ind w:left="120" w:right="540"/>
        <w:spacing w:after="0" w:line="312" w:lineRule="auto"/>
        <w:rPr>
          <w:sz w:val="20"/>
          <w:szCs w:val="20"/>
          <w:color w:val="auto"/>
        </w:rPr>
      </w:pPr>
      <w:r>
        <w:rPr>
          <w:rFonts w:ascii="Times New Roman" w:cs="Times New Roman" w:eastAsia="Times New Roman" w:hAnsi="Times New Roman"/>
          <w:sz w:val="17"/>
          <w:szCs w:val="17"/>
          <w:color w:val="auto"/>
        </w:rPr>
        <w:t>Offering costs consist of legal, accounting and other costs incurred through the Initial Public Offering that are directly related to the Initial Public Offering. Offering costs amounting to $23,353,182 were charged to stockholders’ equity upon the completion of the Initial Public Offering.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$24,000, which had a full valuation allowance recorded against it of approximately $24,000.</w:t>
      </w:r>
    </w:p>
    <w:p>
      <w:pPr>
        <w:spacing w:after="0" w:line="189"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Company’s currently taxable income primarily consists of interest income on the Trust Account. The Company’s general and administrative costs are generally considered start-up costs and are not currently deductible. The Company’s effective tax rate for three months ended September 30, 2020 and for the period from February 6, 2020 (inception) through September 30, 2020 was approximately 222% and 66%, respectively, which differs from the expected income tax rate due to the start-up costs (discussed above) which are not currently deductible.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30,980,000 shares of Class A common stock in the calculation of diluted income per share, since the exercise of the warrants are contingent upon the occurrence of future events and the inclusion of such warrants would be anti-dilutive.</w:t>
      </w:r>
    </w:p>
    <w:p>
      <w:pPr>
        <w:spacing w:after="0" w:line="180"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Company’s unaudited condensed statement of operations includes a presentation of income per share for common shares subject to possible redemption in a manner similar to the two-class method of income per share. Net income per common share, basic and diluted, for Class A redeemable common stock is calculated by dividing the interest income earned on the Trust Account of $126,856 and $154,419 for the three months ended September 30, 2020 and for the period from February 6, 2020 (inception) through September 30, 2020, respectively (net of applicable franchise and income taxes of approximately $18,000 and $85,000 for the three months ended September 30, 2020 and for the period from February 6, 2020 (inception) through September 30, 2020, respectively), by the weighted average number of Class A redeemable common stock for the period. Net loss per common share, basic and diluted, for Class B non-redeemable common stock is calculated by dividing the net loss, less income attributable to Class A redeemable common stock,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ectPr>
          <w:pgSz w:w="11900" w:h="16838" w:orient="portrait"/>
          <w:cols w:equalWidth="0" w:num="1">
            <w:col w:w="11100"/>
          </w:cols>
          <w:pgMar w:left="320" w:top="455" w:right="47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00"/>
          </w:cols>
          <w:pgMar w:left="320" w:top="455" w:right="47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640"/>
        <w:spacing w:after="0" w:line="312" w:lineRule="auto"/>
        <w:rPr>
          <w:sz w:val="20"/>
          <w:szCs w:val="20"/>
          <w:color w:val="auto"/>
        </w:rPr>
      </w:pPr>
      <w:r>
        <w:rPr>
          <w:rFonts w:ascii="Times New Roman" w:cs="Times New Roman" w:eastAsia="Times New Roman" w:hAnsi="Times New Roman"/>
          <w:sz w:val="17"/>
          <w:szCs w:val="17"/>
          <w:color w:val="auto"/>
        </w:rPr>
        <w:t>The fair value of the Company’s assets and liabilities, which qualify as financial instruments under ASC Topic 820, “Fair Value Measurement,” approximates the carrying amounts represented in the accompanying condensed balance sheet, primarily due to their short-term nature.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condensed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PUBLIC OFFERING</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the Company sold 41,400,000 Units, which includes the full exercise by the underwriters of their option to purchase an additional 5,400,000 Units at a price of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10,280,000 Private Placement Warrants for an aggregate purchase price of $10,280,000. Each Private Placement Warrant is exercisable to purchase one share of Class A common stock at an exercise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February 2020, the Sponsor paid $25,000 to cover certain offering costs of the Company in consideration of 8,625,000 shares of the Company’s Class B common stock (the “Founder Shares”) for an aggregate price of $25,000. On May 20, 2020, the Sponsor transferred 25,000 Founder Shares to Amy Schulman, a director, and on June 3, 2020 the Sponsor transferred 25,000 shares to Thelma Duggin, a director, resulting in the Sponsor holding an aggregate of 8,575,000 Founder Shares. On June 8, 2020, the Company effected a 1:1.2 stock split of its Class B common stock, resulting an aggregate of 10,350,000 Founder Shares issued and outstanding, of which 10,300,000 Founder Shares are held by the Sponsor and 50,000 Founder Shares are held by the directors. All share and per-share amounts have been retroactively restated to reflect the stock split. The Founder Shares included an aggregate of up to 1,350,000 shares subject to forfeiture by the Sponsor to the extent that the underwriters’ over-allotment was not exercised in full or in part, so that the number of Founder Shares would collectively represent approximately 20% of the Company’s issued and outstanding shares after the Initial Public Offering (assuming the Sponsor did not purchase any Public Shares in the Initial Public Offering). As a result of the underwriter’s election to fully exercise their over-allotment option, 1,350,000 Founder Shares are no longer subject to forfeiture.</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Sponsor has agreed, subject to certain limited exceptions, not to transfer, assign or sell any of the Founder Shares until the earlier to occur of</w:t>
      </w:r>
    </w:p>
    <w:p>
      <w:pPr>
        <w:spacing w:after="0" w:line="27" w:lineRule="exact"/>
        <w:rPr>
          <w:sz w:val="20"/>
          <w:szCs w:val="20"/>
          <w:color w:val="auto"/>
        </w:rPr>
      </w:pPr>
    </w:p>
    <w:p>
      <w:pPr>
        <w:ind w:left="420" w:hanging="304"/>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completion of a Business Combination or (B) subsequent to a Business Combination, (x) if the last reported sale price of the</w:t>
      </w:r>
    </w:p>
    <w:p>
      <w:pPr>
        <w:spacing w:after="0" w:line="9" w:lineRule="exact"/>
        <w:rPr>
          <w:rFonts w:ascii="Times New Roman" w:cs="Times New Roman" w:eastAsia="Times New Roman" w:hAnsi="Times New Roman"/>
          <w:sz w:val="18"/>
          <w:szCs w:val="18"/>
          <w:color w:val="auto"/>
        </w:rPr>
      </w:pPr>
    </w:p>
    <w:p>
      <w:pPr>
        <w:ind w:left="12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equals or exceeds $12.00 per share (as adjusted for stock splits, stock dividends, reorganizations, recapitalizations and the like) for any 20 trading days within any 30-trading day period commencing at least 150 days after a Business Combination, or (y) the date following the completion of a Business Combination on which the Company completes a liquidation, merger, stock exchange, reorganization or other similar transaction that results in all of the Company’s stockholders having the right to exchange their shares of Class A common stock for cash, securities or other property.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February 6, 2020, the Company issued the Promissory Note to the Sponsor, pursuant to which the Company could borrow up to an aggregate principal amount of $300,000. The Promissory Note was non-interest bearing and payable on the earlier of December 31, 2020 or the consummation of the Initial Public Offering. The outstanding balance of $129,706 under the Promissory Note was repaid on June 12, 2020.</w:t>
      </w:r>
    </w:p>
    <w:p>
      <w:pPr>
        <w:sectPr>
          <w:pgSz w:w="11900" w:h="16838" w:orient="portrait"/>
          <w:cols w:equalWidth="0" w:num="1">
            <w:col w:w="11100"/>
          </w:cols>
          <w:pgMar w:left="320" w:top="455" w:right="47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00"/>
          </w:cols>
          <w:pgMar w:left="320" w:top="455" w:right="47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an affiliate of the Sponsor, or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 Business Combination entity. The warrants would be identical to the Private Placement Warrants. As of September 30, 2020, no Working Capital Loans were outstanding.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whereby, commencing on June 8, 2020 through the earlier of the Company’s consummation of a Business Combination and its liquidation, the Company will pay an affiliate of the Sponsor a total of $10,000 per month for office space, secretarial and administrative services. For the three months ended September 30, 2020 and for the period from February 6, 2020 (inception) through September 30, 2020, the Company incurred $30,000 and $40,000 in fees for these services, respectively. As of September 30, 2020, $40,000 is included in accrued expenses in the accompanying condensed balance sheet.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 Purchase Agreement</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Company entered into a forward purchase agreement with HEC Master Fund LP (“HEC Master”) pursuant to which HEC Master has committed to purchase from the Company up to 5,000,000 forward purchase units (the “Forward Purchase Units”), consisting of one share of Class A common stock (the “Forward Purchase Shares”) and one-half of one warrant to purchase one share of Class A common stock (the “Forward Purchase Warrants” and together with the Forward Purchase Units and the Forward Purchase Shares, the “Forward Purchase Securities”), for $10.00 per unit, or an aggregate amount of up to $50,000,000, in a private placement that will close concurrently with the closing of a Business Combination. The proceeds from the sale of these Forward Purchase Units, together with the amounts available to the Company from the Trust Account (after giving effect to any redemptions of Public Shares) and any other equity or debt financing obtained by the Company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the Company entering into a definitive agreement for the initial Business Combination, of its investment committee. Pursuant to the terms of the Forward Purchase Agreement, HEC Master will have the option to assign its commitment to one of its affiliates and up to $2,500,000 to members of the Company’s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June 8, 2020, the holders of the Founder Shares, Private Placement Warrants, Forward Purchase Securities and warrants that may be issued upon conversion of Working Capital Loans (and any Class A common stock issuable upon the exercise of the Private Placement Warrants, Forward Purchase Warrants and warrants issued upon conversion of the Working Capital Loans and upon conversion of the Founder Shares) are entitled to registration rights,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will have certain “piggy-back” registration rights with respect to registration statements filed subsequent to the completion of a Business Combination. The Company will bear the expenses incurred in connection with the filing of any such registration statements.</w:t>
      </w:r>
    </w:p>
    <w:p>
      <w:pPr>
        <w:sectPr>
          <w:pgSz w:w="11900" w:h="16838" w:orient="portrait"/>
          <w:cols w:equalWidth="0" w:num="1">
            <w:col w:w="11120"/>
          </w:cols>
          <w:pgMar w:left="320" w:top="455" w:right="459" w:bottom="1440" w:gutter="0" w:footer="0" w:header="0"/>
        </w:sectPr>
      </w:pP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$0.20 per Unit, or $8,280,000 in the aggregate. In addition, 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1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with a par value of $0.0001 per share with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 rights and preferences as may be determined from time to time by the Company’s board of directors. At September 30, 2020, there were no shares of preferred stock issued or outstanding.</w:t>
      </w:r>
    </w:p>
    <w:p>
      <w:pPr>
        <w:spacing w:after="0" w:line="17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 A Common Stock — </w:t>
      </w:r>
      <w:r>
        <w:rPr>
          <w:rFonts w:ascii="Times New Roman" w:cs="Times New Roman" w:eastAsia="Times New Roman" w:hAnsi="Times New Roman"/>
          <w:sz w:val="18"/>
          <w:szCs w:val="18"/>
          <w:color w:val="auto"/>
        </w:rPr>
        <w:t>The Company is authorized to issue 380,000,000 shares of Class A common stock with a par value of $0.0001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Class A common stock are entitled to one vote for each share. At September 30, 2020, there were 1,809,469 shares of Class A common stock issued or outstanding, excluding 39,590,531 shares of Class A common stock subject to possible redemption.</w:t>
      </w:r>
    </w:p>
    <w:p>
      <w:pPr>
        <w:spacing w:after="0" w:line="17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B Common Stock — </w:t>
      </w:r>
      <w:r>
        <w:rPr>
          <w:rFonts w:ascii="Times New Roman" w:cs="Times New Roman" w:eastAsia="Times New Roman" w:hAnsi="Times New Roman"/>
          <w:sz w:val="18"/>
          <w:szCs w:val="18"/>
          <w:color w:val="auto"/>
        </w:rPr>
        <w:t>The Company is authorized to issue 20,000,000 shares of Class B common stock with a par value of $0.0001 per share.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2020, there were 10,350,000 shares of Class B common stock issued and outstanding.</w:t>
      </w:r>
    </w:p>
    <w:p>
      <w:pPr>
        <w:spacing w:after="0" w:line="15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Holders of Class A common stock and Class B common stock will vote together as a single class on all matters submitted to a vote of stockholders except as required by law.</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but not the Forward Purchase Warrants),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188"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 warrants will be issued upon separation of the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only whole warrants will trade. The Public Warrants will become exercisable on the later of (a) 12 months from the closing of the Proposed Public Offering and (b) 30 days after the completion of a Business Combination.</w:t>
      </w:r>
    </w:p>
    <w:p>
      <w:pPr>
        <w:spacing w:after="0" w:line="17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ectPr>
          <w:pgSz w:w="11900" w:h="16838" w:orient="portrait"/>
          <w:cols w:equalWidth="0" w:num="1">
            <w:col w:w="11120"/>
          </w:cols>
          <w:pgMar w:left="320" w:top="455"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call the warrants for redemption:</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stock splits, stock capitalizations, reorganizations, recapitalizations and the like and for certain issuances of Class A common stock and equity-linked securities as described below) for any 20 trading days within a 30-trading day period ending on the third trading day prior to the date the Company sends the notice of redemption to the warrant holders.</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it may exercise its redemption right even if the Company is unable to register or qualify the underlying securities for sale under all applicable state securities laws.</w:t>
      </w:r>
    </w:p>
    <w:p>
      <w:pPr>
        <w:spacing w:after="0" w:line="162"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9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Class A common stock or equity-linked securities for capital raising purposes in connection with the closing of a Business Combination (excluding any issuance of Forward Purchase Securities)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common stock during the 20 trading day period starting on the trading day after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92"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Proposed Public Offering, except that the Private Placement Warrants and the shares of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Company classifies its U.S. Treasury and equivalent securities as held-to-maturity in accordance with ASC 320 “Investments—Debt and Equity Securities.” Held-to-maturity securities are those securities which the Company has the ability and intent to hold until maturity. Held-to-maturity treasury securities are recorded at amortized cost on the accompanying condensed balance sheet and adjusted for the amortization or accretion of premiums or discounts.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At September 30, 2020, assets held in the Trust Account were comprised of $303 in money market funds, which are invested in U.S. Treasury Securities, and $414,154,116 in U.S. Treasury Bills. During the period from February 6, 2020 (inception) through September 30, 2020, the Company did not withdraw any interest income from the trust account to pay its franchise taxes.</w:t>
      </w:r>
    </w:p>
    <w:p>
      <w:pPr>
        <w:sectPr>
          <w:pgSz w:w="11900" w:h="16838" w:orient="portrait"/>
          <w:cols w:equalWidth="0" w:num="1">
            <w:col w:w="11120"/>
          </w:cols>
          <w:pgMar w:left="320" w:top="455"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gross holding losses and fair value of held-to-maturity securities at September 30, 2020 are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45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360" w:type="dxa"/>
            <w:vAlign w:val="bottom"/>
            <w:gridSpan w:val="2"/>
            <w:vMerge w:val="continue"/>
          </w:tcPr>
          <w:p>
            <w:pPr>
              <w:spacing w:after="0"/>
              <w:rPr>
                <w:sz w:val="12"/>
                <w:szCs w:val="12"/>
                <w:color w:val="auto"/>
              </w:rPr>
            </w:pPr>
          </w:p>
        </w:tc>
        <w:tc>
          <w:tcPr>
            <w:tcW w:w="88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4580" w:type="dxa"/>
            <w:vAlign w:val="bottom"/>
            <w:gridSpan w:val="2"/>
            <w:vMerge w:val="continue"/>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 (Mature on 11/3/2020)</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414,154,116</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(4,436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414,149,680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4" w:lineRule="exact"/>
        <w:rPr>
          <w:sz w:val="20"/>
          <w:szCs w:val="20"/>
          <w:color w:val="auto"/>
        </w:rPr>
      </w:pPr>
    </w:p>
    <w:p>
      <w:pPr>
        <w:ind w:left="1120" w:hanging="99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4" w:lineRule="exact"/>
        <w:rPr>
          <w:sz w:val="20"/>
          <w:szCs w:val="20"/>
          <w:color w:val="auto"/>
        </w:rPr>
      </w:pPr>
    </w:p>
    <w:p>
      <w:pPr>
        <w:ind w:left="1120" w:right="440" w:hanging="998"/>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560" w:type="dxa"/>
            <w:vAlign w:val="bottom"/>
            <w:vMerge w:val="restart"/>
          </w:tcPr>
          <w:p>
            <w:pPr>
              <w:spacing w:after="0"/>
              <w:rPr>
                <w:sz w:val="13"/>
                <w:szCs w:val="13"/>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2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756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40" w:type="dxa"/>
            <w:vAlign w:val="bottom"/>
            <w:gridSpan w:val="2"/>
          </w:tcPr>
          <w:p>
            <w:pPr>
              <w:jc w:val="right"/>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Account—U.S. Treasury Securities Money Market Fund</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$414,149,680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 condensed financial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References in this report (the “Quarterly Report”) to “we,” “us” or the “Company” refer to Hudson Executive Investment Corp. References to our “management” or our “management team” refer to our officers and directors, references to the “Sponsor” refer to HEC Sponsor LLC. The following discussion and analysis of the Company’s financial condition and results of operations should be read in conjunction with the financial statements and the notes thereto contained elsewhere in this Quarterly Report (the “Financial Statements”). Capitalized terms used but not otherwise defined herein have the meaning set forth in the Financial Statements. Certain information contained in the discussion and analysis set forth below includes forward-looking statements that involve risks and uncertainties.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Final Prospectus.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a blank check company incorporated on February 6,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our Initial Public Offering , the sale of the Private Placement Warrants that occurred simultaneously with the completion of our Initial Public Offering and the sale of the Forward Purchase Units, shares issued to the owners of the target, debt issued to bank or other lenders or the owners of the target, or a combination of the foregoing.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issuance of additional shares in connection with an initial Business Combination to the owners of the target or other investors, including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 Purchase Units:</w:t>
      </w:r>
    </w:p>
    <w:p>
      <w:pPr>
        <w:spacing w:after="0" w:line="112" w:lineRule="exact"/>
        <w:rPr>
          <w:sz w:val="20"/>
          <w:szCs w:val="20"/>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shares of preferred stock are issued with rights senior to those afforded our Class A common stock;</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debt to bank or other lenders or the owners of a target, it could result in:</w:t>
      </w:r>
    </w:p>
    <w:p>
      <w:pPr>
        <w:spacing w:after="0" w:line="131" w:lineRule="exact"/>
        <w:rPr>
          <w:sz w:val="20"/>
          <w:szCs w:val="20"/>
          <w:color w:val="auto"/>
        </w:rPr>
      </w:pPr>
    </w:p>
    <w:p>
      <w:pPr>
        <w:ind w:left="1080" w:right="4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 Business Combination will be successful.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September 30, 2020 were organizational activities, including those necessary to prepare for the Initial Public Offering, described below, and identifying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2020, we had a net loss of $10,114, which consists of operating costs of $118,542 and a provision for income taxes of $18,428, offset by interest income on marketable securities held in the Trust Account of $126,856.</w:t>
      </w:r>
    </w:p>
    <w:p>
      <w:pPr>
        <w:spacing w:after="0" w:line="162" w:lineRule="exact"/>
        <w:rPr>
          <w:sz w:val="20"/>
          <w:szCs w:val="20"/>
          <w:color w:val="auto"/>
        </w:rPr>
      </w:pPr>
    </w:p>
    <w:p>
      <w:pPr>
        <w:jc w:val="both"/>
        <w:ind w:left="120" w:right="580"/>
        <w:spacing w:after="0" w:line="312" w:lineRule="auto"/>
        <w:rPr>
          <w:sz w:val="20"/>
          <w:szCs w:val="20"/>
          <w:color w:val="auto"/>
        </w:rPr>
      </w:pPr>
      <w:r>
        <w:rPr>
          <w:rFonts w:ascii="Times New Roman" w:cs="Times New Roman" w:eastAsia="Times New Roman" w:hAnsi="Times New Roman"/>
          <w:sz w:val="17"/>
          <w:szCs w:val="17"/>
          <w:color w:val="auto"/>
        </w:rPr>
        <w:t>For the period from February 6, 2020 (inception) through September 30, 2020, we had a net loss of $46,499, which consists of operating costs of $182,490 and a provision for income taxes of $18,428, offset by interest income on marketable securities held in the Trust Account of $154,419.</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June 11, 2020, we consummated the Initial Public Offering of 41,400,000 Units, which included the full exercise by the underwriters of the over-allotment option to purchase an additional 5,400,000 Units, at $10.00 per Unit, generating gross proceeds of $414,000,000. Simultaneously with the closing of the Initial Public Offering, we consummated the sale of 10,280,000 Private Placement Warrants to our Sponsor at a price of $1.00 per warrant, generating gross proceeds of $10,280,000.</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Following the Initial Public Offering, the exercise of the over-allotment option and the sale of the Private Placement Warrants, a total of $414,000,000 was placed in the Trust Account. We incurred $23,353,182 in transaction costs, including $8,280,000 of underwriting fees, $14,490,000 of deferred underwriting fees and $583,182 of other offering costs.</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For the period from February 6, 2020 (inception) through September 30, 2020, cash used in operating activities was $232,441. Net loss of $46,499 was affected by interest earned on marketable securities held in the Trust Account of $154,419, formation costs paid by the Sponsor of $2,125 and changes in operating assets and liabilities, which used $33,648 of cash from operating activities.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of September 30, 2020, we had cash and marketable securities held in the Trust Account of $414,154,419.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September 30, 2020, we did not withdraw any interest income from the Trust Account.</w:t>
      </w:r>
    </w:p>
    <w:p>
      <w:pPr>
        <w:spacing w:after="0" w:line="187"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As of September 30, 2020, we had $1,207,252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8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121"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our Sponsor a monthly fee of $10,000 for office space, utilities and secretarial and administrative services to the Company. We began incurring these fees on June 8, 2020 and will continue to incur these fees monthly until the earlier of the completion of our Business Combination and the Company’s liquidation.</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$14,490,000 in the aggregate. The deferred fee will be forfeited by the underwriters in the event that the Company fails to complete a Business Combination, subject to the terms of the underwriting agreement.</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we into a forward purchase agreement with HEC Master pursuant to which HEC Master has committed to purchase from us up to 5,000,000 Forward Purchase Units, for $10.00 per unit, or an aggregate amount of up to $50,000,000, in a private placement that will close concurrently with the closing of a Business Combination. The proceeds from the sale of these Forward Purchase Units, together with the amounts available to us from the Trust Account (after giving effect to any redemptions of Public Shares) and any other equity or debt financing obtained 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To the extent that the amounts available from the Trust Account and other financing are sufficient for such cash requirements, HEC Master may purchase less than 5,000,000 Forward Purchase Units. In addition, HEC Master’s commitment under the forward purchase agreement will be subject to approval, prior to us entering into a definitive agreement for the initial Business Combination, of its investment committee. Pursuant to the terms of the forward purchase agreement, HEC Master will have the option to assign its commitment to one of its affiliates and up to $2,500,000 to members of our management team. The Forward Purchase Shares will be identical to the shares of Class A common stock included in the units sold in the Initial Public Offering, except that they will be subject to transfer restrictions and registration rights. The Forward Purchase Warrants will have the same terms as the Private Placement Warrants so long as they are held by HEC Master or its permitted assignees and transferees.</w:t>
      </w:r>
    </w:p>
    <w:p>
      <w:pPr>
        <w:sectPr>
          <w:pgSz w:w="11900" w:h="16838" w:orient="portrait"/>
          <w:cols w:equalWidth="0" w:num="1">
            <w:col w:w="11140"/>
          </w:cols>
          <w:pgMar w:left="320" w:top="455"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as temporary equity, outside of the stockholders’ equity section of our condensed balance sheet.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our financial statements.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September 30, 2020, we were not subject to any market or interest rate risk. The net proceeds received into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our disclosure controls and procedures (as defined in Rules 13a-15 (e) and 15d-15 (e) under the Exchange Act) were effective.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Quarterly Report are any of the risks described in the Final Prospectus.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except we may disclose changes to such factors or disclose additional factors from time to time in our future filings with the SEC.</w:t>
      </w:r>
    </w:p>
    <w:p>
      <w:pPr>
        <w:spacing w:after="0" w:line="32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June 11, 2020, we consummated our Initial Public Offering of 41,400,000 Units, inclusive of underwriters’ election to fully exercise their over-allotment option, we sold an additional 5,400,000 Units. The Units were sold at an offering price of $10.00 per Unit, generating total gross proceeds of $414,000,000. Citigroup Global Markets Inc and J.P. Morgan Securities LLC acted as the joint book running managers and SVB Leerink LLC acted as the co-manager of the offering. The securities sold in the offering were registered under the Securities Act on a registration statement on Form S-1 (No. 333-238583). The SEC declared the registration statement effective on June 8, 2020.</w:t>
      </w:r>
    </w:p>
    <w:p>
      <w:pPr>
        <w:spacing w:after="0" w:line="183"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and the full exercise of the over-allotment option, we consummated a private placement of 10,280,000 Private Placement Warrants to our Sponsor at a price of $1.00 per Private Placement Warrant, generating total proceeds of $10,280,000. Such securities were issued pursuant to the exemption from registration contained in Section 4(a)(2) of the Securities Act.</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the same as the warrants underlying the Units sold in the Initial Public Offering, except that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8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and the sale of the Private Placement Warrants, $414,000,000 was placed in the Trust Account.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paid a total of $8,280,000 underwriting discounts and commissions and $583,182 for other costs and expenses related to the Initial Public Offering.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the underwriters agreed to defer $14,490,000 in underwriting discounts and commissions.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 description of the use of the proceeds generated in our Initial Public Offering, see Part I, Item 2 of this Quarterly Report.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46" w:lineRule="exact"/>
        <w:rPr>
          <w:sz w:val="20"/>
          <w:szCs w:val="20"/>
          <w:color w:val="auto"/>
        </w:rPr>
      </w:pPr>
    </w:p>
    <w:p>
      <w:pPr>
        <w:ind w:left="220"/>
        <w:spacing w:after="0"/>
        <w:tabs>
          <w:tab w:leader="none" w:pos="820" w:val="left"/>
        </w:tabs>
        <w:rPr>
          <w:sz w:val="20"/>
          <w:szCs w:val="20"/>
          <w:color w:val="auto"/>
        </w:rPr>
      </w:pPr>
      <w:r>
        <w:rPr>
          <w:rFonts w:ascii="Times New Roman" w:cs="Times New Roman" w:eastAsia="Times New Roman" w:hAnsi="Times New Roman"/>
          <w:sz w:val="14"/>
          <w:szCs w:val="14"/>
          <w:b w:val="1"/>
          <w:bCs w:val="1"/>
          <w:u w:val="single" w:color="auto"/>
          <w:color w:val="auto"/>
        </w:rPr>
        <w:t>No.</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16510</wp:posOffset>
            </wp:positionV>
            <wp:extent cx="6540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95" w:lineRule="exact"/>
        <w:rPr>
          <w:sz w:val="20"/>
          <w:szCs w:val="20"/>
          <w:color w:val="auto"/>
        </w:rPr>
      </w:pPr>
    </w:p>
    <w:p>
      <w:pPr>
        <w:ind w:left="840" w:right="320" w:hanging="714"/>
        <w:spacing w:after="0" w:line="282"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23">
        <w:r>
          <w:rPr>
            <w:rFonts w:ascii="Times New Roman" w:cs="Times New Roman" w:eastAsia="Times New Roman" w:hAnsi="Times New Roman"/>
            <w:sz w:val="18"/>
            <w:szCs w:val="18"/>
            <w:u w:val="single" w:color="auto"/>
            <w:color w:val="0000EE"/>
          </w:rPr>
          <w:t>Certification of Principal Executive Officer Pursuant to Securities Exchange Act Rules 13a-14(a) and 15(d)-14(a), as adopted Pursuant to</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Section 302 of the Sarbanes-Oxley Act of 2002</w:t>
        </w:r>
      </w:hyperlink>
    </w:p>
    <w:p>
      <w:pPr>
        <w:spacing w:after="0" w:line="54" w:lineRule="exact"/>
        <w:rPr>
          <w:sz w:val="20"/>
          <w:szCs w:val="20"/>
          <w:color w:val="auto"/>
        </w:rPr>
      </w:pPr>
    </w:p>
    <w:p>
      <w:pPr>
        <w:ind w:left="840" w:right="360" w:hanging="714"/>
        <w:spacing w:after="0" w:line="282"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24">
        <w:r>
          <w:rPr>
            <w:rFonts w:ascii="Times New Roman" w:cs="Times New Roman" w:eastAsia="Times New Roman" w:hAnsi="Times New Roman"/>
            <w:sz w:val="18"/>
            <w:szCs w:val="18"/>
            <w:u w:val="single" w:color="auto"/>
            <w:color w:val="0000EE"/>
          </w:rPr>
          <w:t>Certification of Principal Financial Officer Pursuant to Securities Exchange Act Rules 13a-14(a) and 15(d)-14(a), as adopted Pursuant to</w:t>
        </w:r>
      </w:hyperlink>
      <w:r>
        <w:rPr>
          <w:rFonts w:ascii="Times New Roman" w:cs="Times New Roman" w:eastAsia="Times New Roman" w:hAnsi="Times New Roman"/>
          <w:sz w:val="18"/>
          <w:szCs w:val="18"/>
          <w:u w:val="single" w:color="auto"/>
          <w:color w:val="0000EE"/>
        </w:rPr>
        <w:t xml:space="preserve"> </w:t>
      </w:r>
      <w:hyperlink w:anchor="page24">
        <w:r>
          <w:rPr>
            <w:rFonts w:ascii="Times New Roman" w:cs="Times New Roman" w:eastAsia="Times New Roman" w:hAnsi="Times New Roman"/>
            <w:sz w:val="18"/>
            <w:szCs w:val="18"/>
            <w:u w:val="single" w:color="auto"/>
            <w:color w:val="0000EE"/>
          </w:rPr>
          <w:t>Section 302 of the Sarbanes-Oxley Act of 2002</w:t>
        </w:r>
      </w:hyperlink>
    </w:p>
    <w:p>
      <w:pPr>
        <w:sectPr>
          <w:pgSz w:w="11900" w:h="16838" w:orient="portrait"/>
          <w:cols w:equalWidth="0" w:num="1">
            <w:col w:w="11040"/>
          </w:cols>
          <w:pgMar w:left="320" w:top="455" w:right="539" w:bottom="1440" w:gutter="0" w:footer="0" w:header="0"/>
        </w:sectPr>
      </w:pP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w:t>
              </w:r>
            </w:hyperlink>
          </w:p>
        </w:tc>
      </w:tr>
      <w:tr>
        <w:trPr>
          <w:trHeight w:val="196"/>
        </w:trPr>
        <w:tc>
          <w:tcPr>
            <w:tcW w:w="1180" w:type="dxa"/>
            <w:vAlign w:val="bottom"/>
          </w:tcPr>
          <w:p>
            <w:pPr>
              <w:spacing w:after="0"/>
              <w:rPr>
                <w:sz w:val="17"/>
                <w:szCs w:val="17"/>
                <w:color w:val="auto"/>
              </w:rPr>
            </w:pPr>
          </w:p>
        </w:tc>
        <w:tc>
          <w:tcPr>
            <w:tcW w:w="9560" w:type="dxa"/>
            <w:vAlign w:val="bottom"/>
            <w:gridSpan w:val="3"/>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Oxley Act of 2002</w:t>
              </w:r>
            </w:hyperlink>
          </w:p>
        </w:tc>
      </w:tr>
      <w:tr>
        <w:trPr>
          <w:trHeight w:val="20"/>
        </w:trPr>
        <w:tc>
          <w:tcPr>
            <w:tcW w:w="1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w:t>
              </w:r>
            </w:hyperlink>
          </w:p>
        </w:tc>
        <w:tc>
          <w:tcPr>
            <w:tcW w:w="4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560" w:type="dxa"/>
            <w:vAlign w:val="bottom"/>
            <w:gridSpan w:val="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Oxley Act of 2002</w:t>
              </w:r>
            </w:hyperlink>
          </w:p>
        </w:tc>
      </w:tr>
      <w:tr>
        <w:trPr>
          <w:trHeight w:val="20"/>
        </w:trPr>
        <w:tc>
          <w:tcPr>
            <w:tcW w:w="11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3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5"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w:t>
      </w:r>
    </w:p>
    <w:p>
      <w:pPr>
        <w:spacing w:after="0" w:line="9" w:lineRule="exact"/>
        <w:rPr>
          <w:sz w:val="20"/>
          <w:szCs w:val="20"/>
          <w:color w:val="auto"/>
        </w:rPr>
      </w:pPr>
    </w:p>
    <w:p>
      <w:pPr>
        <w:ind w:left="5540" w:right="1240" w:hanging="5424"/>
        <w:spacing w:after="0" w:line="433" w:lineRule="auto"/>
        <w:tabs>
          <w:tab w:leader="none" w:pos="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our Current Report on Form 8-K filed on June 11, 2020 and incorporated by reference herein. 19</w:t>
      </w:r>
    </w:p>
    <w:p>
      <w:pPr>
        <w:sectPr>
          <w:pgSz w:w="11900" w:h="16838" w:orient="portrait"/>
          <w:cols w:equalWidth="0" w:num="1">
            <w:col w:w="10860"/>
          </w:cols>
          <w:pgMar w:left="320" w:top="455" w:right="7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November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November 16, 2020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HUDSON EXECUTIVE INVESTMENT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G. Bergeron</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Douglas G. Bergeron</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6"/>
        </w:trPr>
        <w:tc>
          <w:tcPr>
            <w:tcW w:w="66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Dobres</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Jonathan Dobres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78"/>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4960" w:type="dxa"/>
            <w:vAlign w:val="bottom"/>
          </w:tcPr>
          <w:p>
            <w:pPr>
              <w:spacing w:after="0"/>
              <w:rPr>
                <w:sz w:val="24"/>
                <w:szCs w:val="24"/>
                <w:color w:val="auto"/>
              </w:rPr>
            </w:pPr>
          </w:p>
        </w:tc>
      </w:tr>
    </w:tbl>
    <w:p>
      <w:pPr>
        <w:sectPr>
          <w:pgSz w:w="11900" w:h="16838" w:orient="portrait"/>
          <w:cols w:equalWidth="0" w:num="2">
            <w:col w:w="4800" w:space="720"/>
            <w:col w:w="5620"/>
          </w:cols>
          <w:pgMar w:left="320" w:top="455" w:right="4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G. Bergeron, certify that:</w:t>
      </w:r>
    </w:p>
    <w:p>
      <w:pPr>
        <w:spacing w:after="0" w:line="131"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Hudson Executive Investment Corp.;</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54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420" w:right="500" w:hanging="439"/>
        <w:spacing w:after="0" w:line="266"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66"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280" w:hanging="439"/>
        <w:spacing w:after="0" w:line="266" w:lineRule="auto"/>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1420" w:right="120" w:hanging="439"/>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Douglas G. Bergeron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Dobres, certify that:</w:t>
      </w:r>
    </w:p>
    <w:p>
      <w:pPr>
        <w:spacing w:after="0" w:line="131" w:lineRule="exact"/>
        <w:rPr>
          <w:sz w:val="20"/>
          <w:szCs w:val="20"/>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Hudson Executive Investment Corp.;</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54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420" w:right="500" w:hanging="439"/>
        <w:spacing w:after="0" w:line="266"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66"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280" w:hanging="439"/>
        <w:spacing w:after="0" w:line="266" w:lineRule="auto"/>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1420" w:right="120" w:hanging="439"/>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Dobres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020"/>
          </w:cols>
          <w:pgMar w:left="440" w:top="117"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Hudson Executive Investment Corp. (the “Company”) on Form 10-Q for the quarterly period ended September 30, 2020, as filed with the Securities and Exchange Commission (the “Report”), I, Douglas G. Bergeron, Chief Executive Officer of the Company, certify, pursuant to 18 U.S.C. §1350, as added by §906 of the Sarbanes-Oxley Act of 2002, that:</w:t>
      </w:r>
    </w:p>
    <w:p>
      <w:pPr>
        <w:spacing w:after="0" w:line="81"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9"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G.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Douglas G. Bergeron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Hudson Executive Investment Corp. (the “Company”) on Form 10-Q for the quarterly period ended September 30, 2020, as filed with the Securities and Exchange Commission (the “Report”), I, Jonathan Dobres, Chief Financial Officer of the Company, certify, pursuant to 18 U.S.C. §1350, as added by §906 of the Sarbanes-Oxley Act of 2002, that:</w:t>
      </w:r>
    </w:p>
    <w:p>
      <w:pPr>
        <w:spacing w:after="0" w:line="81" w:lineRule="exact"/>
        <w:rPr>
          <w:sz w:val="20"/>
          <w:szCs w:val="20"/>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9"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November 16,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Jonathan Dobres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2020-11-16T14:12:36Z</dcterms:created>
  <dcterms:modified xsi:type="dcterms:W3CDTF">2020-11-16T14:12:36Z</dcterms:modified>
</cp:coreProperties>
</file>