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3820160</wp:posOffset>
            </wp:positionH>
            <wp:positionV relativeFrom="paragraph">
              <wp:posOffset>-5080</wp:posOffset>
            </wp:positionV>
            <wp:extent cx="42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TALKSPACE,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p>
      <w:pPr>
        <w:ind w:left="244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84-4636604</w:t>
      </w:r>
    </w:p>
    <w:p>
      <w:pPr>
        <w:sectPr>
          <w:pgSz w:w="11900" w:h="16838" w:orient="portrait"/>
          <w:cols w:equalWidth="0" w:num="1">
            <w:col w:w="11240"/>
          </w:cols>
          <w:pgMar w:left="320" w:top="882" w:right="339" w:bottom="1440" w:gutter="0" w:footer="0" w:header="0"/>
        </w:sectPr>
      </w:pP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622 Third Avenue, New York, New York</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35" w:lineRule="auto"/>
        <w:rPr>
          <w:sz w:val="20"/>
          <w:szCs w:val="20"/>
          <w:color w:val="auto"/>
        </w:rPr>
      </w:pPr>
      <w:r>
        <w:rPr>
          <w:rFonts w:ascii="Times New Roman" w:cs="Times New Roman" w:eastAsia="Times New Roman" w:hAnsi="Times New Roman"/>
          <w:sz w:val="14"/>
          <w:szCs w:val="14"/>
          <w:b w:val="1"/>
          <w:bCs w:val="1"/>
          <w:color w:val="auto"/>
        </w:rPr>
        <w:t>Identification No.)</w:t>
      </w:r>
    </w:p>
    <w:p>
      <w:pPr>
        <w:ind w:left="34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7" w:lineRule="exact"/>
        <w:rPr>
          <w:sz w:val="24"/>
          <w:szCs w:val="24"/>
          <w:color w:val="auto"/>
        </w:rPr>
      </w:pPr>
    </w:p>
    <w:p>
      <w:pPr>
        <w:sectPr>
          <w:pgSz w:w="11900" w:h="16838" w:orient="portrait"/>
          <w:cols w:equalWidth="0" w:num="2">
            <w:col w:w="7140" w:space="720"/>
            <w:col w:w="3380"/>
          </w:cols>
          <w:pgMar w:left="320" w:top="882" w:right="339" w:bottom="1440" w:gutter="0" w:footer="0" w:header="0"/>
          <w:type w:val="continuous"/>
        </w:sect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284-7206</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TALK</w:t>
            </w:r>
          </w:p>
        </w:tc>
        <w:tc>
          <w:tcPr>
            <w:tcW w:w="120" w:type="dxa"/>
            <w:vAlign w:val="bottom"/>
          </w:tcPr>
          <w:p>
            <w:pPr>
              <w:spacing w:after="0"/>
              <w:rPr>
                <w:sz w:val="15"/>
                <w:szCs w:val="15"/>
                <w:color w:val="auto"/>
              </w:rPr>
            </w:pPr>
          </w:p>
        </w:tc>
        <w:tc>
          <w:tcPr>
            <w:tcW w:w="5040" w:type="dxa"/>
            <w:vAlign w:val="bottom"/>
          </w:tcPr>
          <w:p>
            <w:pPr>
              <w:ind w:left="1720"/>
              <w:spacing w:after="0" w:line="181" w:lineRule="exact"/>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TALKW</w:t>
            </w:r>
          </w:p>
        </w:tc>
        <w:tc>
          <w:tcPr>
            <w:tcW w:w="120" w:type="dxa"/>
            <w:vAlign w:val="bottom"/>
          </w:tcPr>
          <w:p>
            <w:pPr>
              <w:spacing w:after="0"/>
              <w:rPr>
                <w:sz w:val="18"/>
                <w:szCs w:val="18"/>
                <w:color w:val="auto"/>
              </w:rPr>
            </w:pPr>
          </w:p>
        </w:tc>
        <w:tc>
          <w:tcPr>
            <w:tcW w:w="504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May 7, 2026, the registrant had 167,512,566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140" w:type="dxa"/>
            <w:vAlign w:val="bottom"/>
            <w:gridSpan w:val="2"/>
            <w:vMerge w:val="continue"/>
          </w:tcPr>
          <w:p>
            <w:pPr>
              <w:spacing w:after="0"/>
              <w:rPr>
                <w:sz w:val="16"/>
                <w:szCs w:val="16"/>
                <w:color w:val="auto"/>
              </w:rPr>
            </w:pPr>
          </w:p>
        </w:tc>
        <w:tc>
          <w:tcPr>
            <w:tcW w:w="9320" w:type="dxa"/>
            <w:vAlign w:val="bottom"/>
            <w:gridSpan w:val="19"/>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1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as of March 31, 2026 (unaudited) and December 31, 2025</w:t>
            </w:r>
          </w:p>
        </w:tc>
        <w:tc>
          <w:tcPr>
            <w:tcW w:w="20" w:type="dxa"/>
            <w:vAlign w:val="bottom"/>
            <w:tcBorders>
              <w:bottom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 for the three months ended March 31, 2026 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(unaudited) for the three months ended March 31, 2026</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 for the three months ended March 31, 2026 and 2025</w:t>
            </w:r>
          </w:p>
        </w:tc>
        <w:tc>
          <w:tcPr>
            <w:tcW w:w="2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three months ended March 31, 2026 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6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86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2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52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80" w:type="dxa"/>
            <w:vAlign w:val="bottom"/>
            <w:gridSpan w:val="15"/>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8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17"/>
                <w:szCs w:val="17"/>
                <w:color w:val="auto"/>
              </w:rPr>
            </w:pPr>
          </w:p>
        </w:tc>
        <w:tc>
          <w:tcPr>
            <w:tcW w:w="700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00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20" w:type="dxa"/>
            <w:vAlign w:val="bottom"/>
            <w:gridSpan w:val="7"/>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4"/>
                <w:szCs w:val="24"/>
                <w:color w:val="auto"/>
                <w:vertAlign w:val="superscript"/>
              </w:rPr>
              <w:t>(1)</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Accounts receivable, net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110,499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111,062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6220" w:type="dxa"/>
            <w:vAlign w:val="bottom"/>
            <w:tcBorders>
              <w:top w:val="single" w:sz="8" w:color="CFF0FC"/>
            </w:tcBorders>
            <w:gridSpan w:val="4"/>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9"/>
              </w:rPr>
              <w:t>Total assets</w:t>
            </w:r>
          </w:p>
        </w:tc>
        <w:tc>
          <w:tcPr>
            <w:tcW w:w="6760" w:type="dxa"/>
            <w:vAlign w:val="bottom"/>
            <w:gridSpan w:val="6"/>
            <w:shd w:val="clear" w:color="auto" w:fill="CFF0FC"/>
          </w:tcPr>
          <w:p>
            <w:pPr>
              <w:spacing w:after="0"/>
              <w:rPr>
                <w:sz w:val="21"/>
                <w:szCs w:val="21"/>
                <w:color w:val="auto"/>
              </w:rPr>
            </w:pPr>
          </w:p>
        </w:tc>
        <w:tc>
          <w:tcPr>
            <w:tcW w:w="36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136,192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134,863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20" w:type="dxa"/>
            <w:vAlign w:val="bottom"/>
            <w:gridSpan w:val="7"/>
          </w:tcPr>
          <w:p>
            <w:pPr>
              <w:spacing w:after="0" w:line="183"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Accrued expenses and other current liabilities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6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Total current liabilities</w:t>
            </w:r>
          </w:p>
        </w:tc>
        <w:tc>
          <w:tcPr>
            <w:tcW w:w="5960" w:type="dxa"/>
            <w:vAlign w:val="bottom"/>
            <w:tcBorders>
              <w:bottom w:val="single" w:sz="8" w:color="CFF0FC"/>
            </w:tcBorders>
            <w:gridSpan w:val="3"/>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22,812</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17,396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620" w:type="dxa"/>
            <w:vAlign w:val="bottom"/>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23,137</w:t>
            </w: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17,848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000000"/>
          </w:tcPr>
          <w:p>
            <w:pPr>
              <w:spacing w:after="0" w:line="20" w:lineRule="exact"/>
              <w:rPr>
                <w:sz w:val="1"/>
                <w:szCs w:val="1"/>
                <w:color w:val="auto"/>
              </w:rPr>
            </w:pPr>
          </w:p>
        </w:tc>
        <w:tc>
          <w:tcPr>
            <w:tcW w:w="134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4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2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Common stock of $0.0001 par value per share: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authorized: 1,000,000,000 as of March 31, 2026 (unaudited) and December 31, 2025;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issued and outstanding: 167,512,566 and 166,718,150 as of March 31, 2026 (unaudited) and December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31, 2025,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380,830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(267,749)</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(261,443)</w:t>
            </w:r>
          </w:p>
        </w:tc>
        <w:tc>
          <w:tcPr>
            <w:tcW w:w="0" w:type="dxa"/>
            <w:vAlign w:val="bottom"/>
          </w:tcPr>
          <w:p>
            <w:pPr>
              <w:spacing w:after="0"/>
              <w:rPr>
                <w:sz w:val="1"/>
                <w:szCs w:val="1"/>
                <w:color w:val="auto"/>
              </w:rPr>
            </w:pPr>
          </w:p>
        </w:tc>
      </w:tr>
      <w:tr>
        <w:trPr>
          <w:trHeight w:val="216"/>
        </w:trPr>
        <w:tc>
          <w:tcPr>
            <w:tcW w:w="762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20" w:type="dxa"/>
            <w:vAlign w:val="bottom"/>
            <w:tcBorders>
              <w:top w:val="single" w:sz="8" w:color="CFF0FC"/>
            </w:tcBorders>
            <w:gridSpan w:val="7"/>
          </w:tcPr>
          <w:p>
            <w:pPr>
              <w:spacing w:after="0" w:line="169" w:lineRule="exact"/>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113,055</w:t>
            </w:r>
          </w:p>
        </w:tc>
        <w:tc>
          <w:tcPr>
            <w:tcW w:w="2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117,015</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920" w:type="dxa"/>
            <w:vAlign w:val="bottom"/>
            <w:gridSpan w:val="6"/>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9"/>
              </w:rPr>
              <w:t>Total liabilities and stockholders’ equity</w:t>
            </w:r>
          </w:p>
        </w:tc>
        <w:tc>
          <w:tcPr>
            <w:tcW w:w="47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136,192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134,863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CFF0FC"/>
          </w:tcPr>
          <w:p>
            <w:pPr>
              <w:spacing w:after="0" w:line="20" w:lineRule="exact"/>
              <w:rPr>
                <w:sz w:val="1"/>
                <w:szCs w:val="1"/>
                <w:color w:val="auto"/>
              </w:rPr>
            </w:pPr>
          </w:p>
        </w:tc>
        <w:tc>
          <w:tcPr>
            <w:tcW w:w="4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-3274060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-2708275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-2691130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-1851025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-1559560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8"/>
        <w:spacing w:after="0" w:line="236"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Talkspace, Inc's condensed consolidated balance sheets include assets of consolidated variable interest entities (“VIEs”) that can only be used to settle obligations of these VIEs and liabilities of consolidated VIEs for which creditors may have recourse to Talkspace, Inc. or its affiliates. At March 31, 2026 (unaudited) and December 31, 2025, assets of these consolidated VIEs totaled $21,285 and $13,625, respectively. At March 31, 2026 (unaudited) and December 31, 2025, liabilities of these consolidated VIEs totaled $5,358 and $3,755, respectively. See Note 11, “Variable Interest Entities,” in the notes to the condensed consolidated financial statements for further details.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20" w:type="dxa"/>
            <w:vAlign w:val="bottom"/>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Cost of revenue, excluding depreciation</w:t>
            </w:r>
          </w:p>
        </w:tc>
        <w:tc>
          <w:tcPr>
            <w:tcW w:w="4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amortization</w:t>
            </w:r>
          </w:p>
        </w:tc>
        <w:tc>
          <w:tcPr>
            <w:tcW w:w="4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36,064</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operations</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4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(7,127)</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4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0"/>
        </w:trPr>
        <w:tc>
          <w:tcPr>
            <w:tcW w:w="69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46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(6,182)</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(6,306)</w:t>
            </w:r>
          </w:p>
        </w:tc>
        <w:tc>
          <w:tcPr>
            <w:tcW w:w="8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Basic</w:t>
            </w:r>
          </w:p>
        </w:tc>
        <w:tc>
          <w:tcPr>
            <w:tcW w:w="460" w:type="dxa"/>
            <w:vAlign w:val="bottom"/>
            <w:shd w:val="clear" w:color="auto" w:fill="C8EDF8"/>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8EDF8"/>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FF0FC"/>
          </w:tcPr>
          <w:p>
            <w:pPr>
              <w:spacing w:after="0"/>
              <w:rPr>
                <w:sz w:val="18"/>
                <w:szCs w:val="18"/>
                <w:color w:val="auto"/>
              </w:rPr>
            </w:pPr>
          </w:p>
        </w:tc>
        <w:tc>
          <w:tcPr>
            <w:tcW w:w="640" w:type="dxa"/>
            <w:vAlign w:val="bottom"/>
            <w:shd w:val="clear" w:color="auto" w:fill="C8EDF8"/>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8EDF8"/>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8ED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Diluted</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spacing w:after="0"/>
              <w:rPr>
                <w:sz w:val="18"/>
                <w:szCs w:val="18"/>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used to compute net (loss) income per share:</w:t>
            </w:r>
          </w:p>
        </w:tc>
        <w:tc>
          <w:tcPr>
            <w:tcW w:w="460" w:type="dxa"/>
            <w:vAlign w:val="bottom"/>
            <w:shd w:val="clear" w:color="auto" w:fill="C8EDF8"/>
          </w:tcPr>
          <w:p>
            <w:pPr>
              <w:spacing w:after="0"/>
              <w:rPr>
                <w:sz w:val="18"/>
                <w:szCs w:val="18"/>
                <w:color w:val="auto"/>
              </w:rPr>
            </w:pPr>
          </w:p>
        </w:tc>
        <w:tc>
          <w:tcPr>
            <w:tcW w:w="1500" w:type="dxa"/>
            <w:vAlign w:val="bottom"/>
            <w:shd w:val="clear" w:color="auto" w:fill="C8EDF8"/>
          </w:tcPr>
          <w:p>
            <w:pPr>
              <w:spacing w:after="0"/>
              <w:rPr>
                <w:sz w:val="18"/>
                <w:szCs w:val="18"/>
                <w:color w:val="auto"/>
              </w:rPr>
            </w:pPr>
          </w:p>
        </w:tc>
        <w:tc>
          <w:tcPr>
            <w:tcW w:w="120" w:type="dxa"/>
            <w:vAlign w:val="bottom"/>
            <w:shd w:val="clear" w:color="auto" w:fill="C8EDF8"/>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167,075,636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168,670,861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Diluted</w:t>
            </w:r>
          </w:p>
        </w:tc>
        <w:tc>
          <w:tcPr>
            <w:tcW w:w="460" w:type="dxa"/>
            <w:vAlign w:val="bottom"/>
            <w:shd w:val="clear" w:color="auto" w:fill="C8EDF8"/>
          </w:tcPr>
          <w:p>
            <w:pPr>
              <w:spacing w:after="0"/>
              <w:rPr>
                <w:sz w:val="18"/>
                <w:szCs w:val="18"/>
                <w:color w:val="auto"/>
              </w:rPr>
            </w:pPr>
          </w:p>
        </w:tc>
        <w:tc>
          <w:tcPr>
            <w:tcW w:w="1500" w:type="dxa"/>
            <w:vAlign w:val="bottom"/>
            <w:shd w:val="clear" w:color="auto" w:fill="C8EDF8"/>
          </w:tcPr>
          <w:p>
            <w:pPr>
              <w:jc w:val="right"/>
              <w:spacing w:after="0"/>
              <w:rPr>
                <w:sz w:val="20"/>
                <w:szCs w:val="20"/>
                <w:color w:val="auto"/>
              </w:rPr>
            </w:pPr>
            <w:r>
              <w:rPr>
                <w:rFonts w:ascii="Times New Roman" w:cs="Times New Roman" w:eastAsia="Times New Roman" w:hAnsi="Times New Roman"/>
                <w:sz w:val="18"/>
                <w:szCs w:val="18"/>
                <w:color w:val="auto"/>
              </w:rPr>
              <w:t>167,075,636</w:t>
            </w:r>
          </w:p>
        </w:tc>
        <w:tc>
          <w:tcPr>
            <w:tcW w:w="120" w:type="dxa"/>
            <w:vAlign w:val="bottom"/>
            <w:shd w:val="clear" w:color="auto" w:fill="C8EDF8"/>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175,545,887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-1696720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-1414145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-1130935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9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20" w:type="dxa"/>
            <w:vAlign w:val="bottom"/>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(6,306)</w:t>
            </w:r>
          </w:p>
        </w:tc>
        <w:tc>
          <w:tcPr>
            <w:tcW w:w="7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unrealized (loss) gain on marketable debt securities</w:t>
            </w:r>
          </w:p>
        </w:tc>
        <w:tc>
          <w:tcPr>
            <w:tcW w:w="4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4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(6,406)</w:t>
            </w:r>
          </w:p>
        </w:tc>
        <w:tc>
          <w:tcPr>
            <w:tcW w:w="78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-316230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(U.S. dollars in thousands, except share data)</w:t>
            </w:r>
          </w:p>
        </w:tc>
        <w:tc>
          <w:tcPr>
            <w:tcW w:w="210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1"/>
              </w:rPr>
              <w:t>in</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31, 2025</w:t>
            </w:r>
          </w:p>
        </w:tc>
        <w:tc>
          <w:tcPr>
            <w:tcW w:w="16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166,718,150</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40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378,384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57</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(261,443)</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117,015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vested, net of tax</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779,250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(753)</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(753)</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(6,306)</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(6,306)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8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March 31, 2026 (unaudited)</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167,512,566</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40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380,830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(43)</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(267,749)</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113,055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1"/>
              </w:rPr>
              <w:t>in</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16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168,849,591</w:t>
            </w: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40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386,612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(269,236)</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117,395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1,010,942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vested, net of tax</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515,033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(571)</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(571)</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Repurchase of common stock for retirement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(2,519,170)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(6,975)</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(6,975)</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Balance as of March 31, 2025 (unaudited)</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167,856,396</w:t>
            </w:r>
          </w:p>
        </w:tc>
        <w:tc>
          <w:tcPr>
            <w:tcW w:w="120" w:type="dxa"/>
            <w:vAlign w:val="bottom"/>
          </w:tcPr>
          <w:p>
            <w:pPr>
              <w:spacing w:after="0"/>
              <w:rPr>
                <w:sz w:val="12"/>
                <w:szCs w:val="12"/>
                <w:color w:val="auto"/>
              </w:rPr>
            </w:pPr>
          </w:p>
        </w:tc>
        <w:tc>
          <w:tcPr>
            <w:tcW w:w="880" w:type="dxa"/>
            <w:vAlign w:val="bottom"/>
            <w:gridSpan w:val="2"/>
          </w:tcPr>
          <w:p>
            <w:pPr>
              <w:jc w:val="right"/>
              <w:ind w:right="6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40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382,292</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w:t>
            </w:r>
          </w:p>
        </w:tc>
        <w:tc>
          <w:tcPr>
            <w:tcW w:w="140" w:type="dxa"/>
            <w:vAlign w:val="bottom"/>
          </w:tcPr>
          <w:p>
            <w:pPr>
              <w:spacing w:after="0"/>
              <w:rPr>
                <w:sz w:val="12"/>
                <w:szCs w:val="12"/>
                <w:color w:val="auto"/>
              </w:rPr>
            </w:pP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(268,918)</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113,418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-1396365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-1379220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-1396365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-1379220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-1396365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-1379220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-1396365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-1379220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-1396365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-1379220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-1396365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-128270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-128270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-128270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-128270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-128270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Represents an amount lower than $1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8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80" w:type="dxa"/>
            <w:vAlign w:val="bottom"/>
            <w:gridSpan w:val="6"/>
            <w:vMerge w:val="continue"/>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auto"/>
            </w:tcBorders>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operating activities:</w:t>
            </w:r>
          </w:p>
        </w:tc>
        <w:tc>
          <w:tcPr>
            <w:tcW w:w="44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(6,306)</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discount on marketable securities, net</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other current assets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Increase (decrease) in accrued expenses and other current liabilities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14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190"/>
        </w:trPr>
        <w:tc>
          <w:tcPr>
            <w:tcW w:w="7280" w:type="dxa"/>
            <w:vAlign w:val="bottom"/>
            <w:gridSpan w:val="6"/>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500" w:type="dxa"/>
            <w:vAlign w:val="bottom"/>
            <w:tcBorders>
              <w:top w:val="single" w:sz="8" w:color="CFF0FC"/>
            </w:tcBorders>
            <w:gridSpan w:val="3"/>
          </w:tcPr>
          <w:p>
            <w:pPr>
              <w:spacing w:after="0"/>
              <w:rPr>
                <w:sz w:val="18"/>
                <w:szCs w:val="18"/>
                <w:color w:val="auto"/>
              </w:rPr>
            </w:pPr>
          </w:p>
        </w:tc>
        <w:tc>
          <w:tcPr>
            <w:tcW w:w="62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3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(13,653)</w:t>
            </w: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(10,428)</w:t>
            </w: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4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financing activities:</w:t>
            </w:r>
          </w:p>
        </w:tc>
        <w:tc>
          <w:tcPr>
            <w:tcW w:w="4460" w:type="dxa"/>
            <w:vAlign w:val="bottom"/>
            <w:tcBorders>
              <w:bottom w:val="single" w:sz="8" w:color="CFF0FC"/>
            </w:tcBorders>
            <w:gridSpan w:val="2"/>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CFF0FC"/>
            </w:tcBorders>
            <w:shd w:val="clear" w:color="auto" w:fill="CFF0FC"/>
          </w:tcPr>
          <w:p>
            <w:pPr>
              <w:spacing w:after="0"/>
              <w:rPr>
                <w:sz w:val="16"/>
                <w:szCs w:val="16"/>
                <w:color w:val="auto"/>
              </w:rPr>
            </w:pPr>
          </w:p>
        </w:tc>
        <w:tc>
          <w:tcPr>
            <w:tcW w:w="1160" w:type="dxa"/>
            <w:vAlign w:val="bottom"/>
            <w:tcBorders>
              <w:top w:val="single" w:sz="8" w:color="auto"/>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top w:val="single" w:sz="8" w:color="auto"/>
              <w:bottom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(6,357)</w:t>
            </w:r>
          </w:p>
        </w:tc>
        <w:tc>
          <w:tcPr>
            <w:tcW w:w="0" w:type="dxa"/>
            <w:vAlign w:val="bottom"/>
          </w:tcPr>
          <w:p>
            <w:pPr>
              <w:spacing w:after="0"/>
              <w:rPr>
                <w:sz w:val="1"/>
                <w:szCs w:val="1"/>
                <w:color w:val="auto"/>
              </w:rPr>
            </w:pPr>
          </w:p>
        </w:tc>
      </w:tr>
      <w:tr>
        <w:trPr>
          <w:trHeight w:val="210"/>
        </w:trPr>
        <w:tc>
          <w:tcPr>
            <w:tcW w:w="1440" w:type="dxa"/>
            <w:vAlign w:val="bottom"/>
            <w:tcBorders>
              <w:top w:val="single" w:sz="8" w:color="CFF0FC"/>
            </w:tcBorders>
          </w:tcPr>
          <w:p>
            <w:pPr>
              <w:spacing w:after="0"/>
              <w:rPr>
                <w:sz w:val="18"/>
                <w:szCs w:val="18"/>
                <w:color w:val="auto"/>
              </w:rPr>
            </w:pPr>
          </w:p>
        </w:tc>
        <w:tc>
          <w:tcPr>
            <w:tcW w:w="700" w:type="dxa"/>
            <w:vAlign w:val="bottom"/>
            <w:tcBorders>
              <w:top w:val="single" w:sz="8" w:color="CFF0FC"/>
            </w:tcBorders>
          </w:tcPr>
          <w:p>
            <w:pPr>
              <w:spacing w:after="0"/>
              <w:rPr>
                <w:sz w:val="18"/>
                <w:szCs w:val="18"/>
                <w:color w:val="auto"/>
              </w:rPr>
            </w:pPr>
          </w:p>
        </w:tc>
        <w:tc>
          <w:tcPr>
            <w:tcW w:w="6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440" w:type="dxa"/>
            <w:vAlign w:val="bottom"/>
            <w:tcBorders>
              <w:top w:val="single" w:sz="8" w:color="CFF0FC"/>
            </w:tcBorders>
          </w:tcPr>
          <w:p>
            <w:pPr>
              <w:spacing w:after="0"/>
              <w:rPr>
                <w:sz w:val="18"/>
                <w:szCs w:val="18"/>
                <w:color w:val="auto"/>
              </w:rPr>
            </w:pPr>
          </w:p>
        </w:tc>
        <w:tc>
          <w:tcPr>
            <w:tcW w:w="6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(16,615)</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1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280" w:type="dxa"/>
            <w:vAlign w:val="bottom"/>
            <w:tcBorders>
              <w:top w:val="single" w:sz="8" w:color="CFF0FC"/>
            </w:tcBorders>
            <w:gridSpan w:val="6"/>
          </w:tcPr>
          <w:p>
            <w:pPr>
              <w:spacing w:after="0"/>
              <w:rPr>
                <w:sz w:val="20"/>
                <w:szCs w:val="20"/>
                <w:color w:val="auto"/>
              </w:rPr>
            </w:pPr>
            <w:r>
              <w:rPr>
                <w:rFonts w:ascii="Times New Roman" w:cs="Times New Roman" w:eastAsia="Times New Roman" w:hAnsi="Times New Roman"/>
                <w:sz w:val="18"/>
                <w:szCs w:val="18"/>
                <w:color w:val="auto"/>
              </w:rPr>
              <w:t>Supplemental cash flow data:</w:t>
            </w:r>
          </w:p>
        </w:tc>
        <w:tc>
          <w:tcPr>
            <w:tcW w:w="6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taxes, net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Non-cash activities:</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capitalized as part of capitalization of internal-use software costs</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Liability incurred for repurchase of common stock</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-3114040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-3114040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-2273935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-2273935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-1425575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-1425575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-859790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-842645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-859790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-842645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Since its founding in 2012, the Company has connected millions of patients with licensed behavioral health providers across a wide and growing spectrum of care through virtual counseling, psychotherapy and psychiatry.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executive office is located in New York, NY. The Company has wholly-owned subsidiaries and holds a variable interest in professional associations and various professional corporations, which have been established pursuant to the requirements of their respective domestic jurisdiction governing the corporate practice of medicine. These entities are considered Variable Interest Entities (“VIEs”). See Note 11, “Variable Interest Entities,” in the notes to the condensed consolidated financial statements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Merger with Universal Health Services, Inc.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9, 2026, the Company entered into a definitive Agreement and Plan of Merger (the “Merger Agreement”) with Universal Health Services, Inc., a Delaware corporation (“UHS”), under which UHS will acquire all outstanding shares of Talkspace for $5.25 per share in cash, without interest. The transaction is valued at approximately $835.0 million and is expected to close in the third quarter of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consummation of the merger is subject to certain customary closing conditions and approvals, as defined in the agreement. In addition, the Merger Agreement contains certain termination rights for both parties. If the agreement is terminated under specified circumstances, the Company may be required to pay UHS a termination fee of $32.4 million.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2026, the Company incurred approximately $7.3 million of transaction-related costs, including financial advisory, legal, and accounting fees which are included within general and administrative expenses in the condensed consolidated statement of operations. Transaction-related costs are expensed as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conjunction with the consolidated financial statements as of and for the year ended December 31, 2025, included in the Company's Annual Report on Form 10-K for the year ended December 31, 2025. The significant accounting policies applied in the annual consolidated financial statements of the Company as of December 31, 2025, have been applied consistently in these unaudited condensed consolidated financial statements, unless otherwise stated.</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consolidates all subsidiaries in which it has a controlling financial interest, as well as any VIEs where the Company is deemed to be the primary beneficiary. Intercompany transactions and balances have been eliminated in the preparation of the condensed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 The Company’s significant estimates and assumptions used in these condensed consolidated financial statements include, but are not limited to, the recognition of revenue, stock-based compensation awards and internal-use software costs.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period presentation. These reclassifications had no effect on the reported 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Segments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Talkspace provides virtual behavioral healthcare services through its online platform for one-on-one therapy delivered via  messaging, audio and video.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who manages the Company by reviewing consolidated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operates as one operating and reportable segment.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uses the Company’s consolidated net income to assess the financial performance of the Company and allocate resources. Since the Company operates in one operating segment, financial information, including consolidated net income information evaluated by the CODM, can be found in the condensed consolidated statements of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assets are managed on a consolidated basis. For total asset information please refer to the condensed consolidated balance sheets included within the condensed consolidated financial statements. Most of the Company's long-lived tangible assets, as well as the Company's operating lease right-of-use asset, are located in the United States. Other financial information regarding the Company's operating segment is presented elsewhere in the condensed consolidated financial statements.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all of the Company’s revenue was generated from customers located in the United States. For the types of services from which the reportable segment derives its revenue refer to Note 3, “Revenue Recognition.”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ASUs issued by the FASB have not yet been adopted by the Company: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 (Topic 220):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additional disclosures of specified information about certain costs and expenses. This guidance will be effective for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beginning the year ended December 31, 2027, and interim periods beginning January 1, 2028, with early adoption permitted and can be applied either on either a prospective or retroactive basis. The Company is currently evaluating the impact of adopting this ASU.</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 (Topic 350): Targeted Improvements to the Accounting for Internal-Use Software</w:t>
      </w:r>
      <w:r>
        <w:rPr>
          <w:rFonts w:ascii="Times New Roman" w:cs="Times New Roman" w:eastAsia="Times New Roman" w:hAnsi="Times New Roman"/>
          <w:sz w:val="18"/>
          <w:szCs w:val="18"/>
          <w:color w:val="auto"/>
        </w:rPr>
        <w:t>, which provides updates on the criteria for capitalizing internal-use software costs and related disclosure requirements. This guidance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for annual reporting periods beginning the year ended December 31, 2028, and for interim reporting periods within those annual reporting periods, with early adoption permitted and can be applied using either a prospective transition approach, a modified transition approach or a retrospective transition approach. The Company is currently evaluating the impact of adopting this ASU.</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interim disclosure requirements and the applicability of Topic 270. This guidance will be effective for annual reporting periods beginning the year ended December 31, 2028, and for interim reporting periods within those annual reporting periods, with early adoption permitted and can be applied prospectively or retrospectively. The Company is currently evaluating the impact of adopting this ASU.</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consolidated revenue from sales to unaffiliated customers disaggregated by revenue source: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9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160" w:type="dxa"/>
            <w:vAlign w:val="bottom"/>
            <w:vMerge w:val="continue"/>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50"/>
        </w:trPr>
        <w:tc>
          <w:tcPr>
            <w:tcW w:w="6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Payor</w:t>
            </w:r>
          </w:p>
        </w:tc>
        <w:tc>
          <w:tcPr>
            <w:tcW w:w="148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48,562</w:t>
            </w:r>
          </w:p>
        </w:tc>
        <w:tc>
          <w:tcPr>
            <w:tcW w:w="116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DTE</w:t>
            </w:r>
          </w:p>
        </w:tc>
        <w:tc>
          <w:tcPr>
            <w:tcW w:w="1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14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3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11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accounts receivable related to revenue from Direct-to-Enterprise (“DTE”) customers of $11.5 million and $8.8 million at March 31, 2026 and December 31, 2025, respectively. As of March 31, 2026 and December 31, 2025, the balance of accounts receivable related to revenue from Health insurance plans (commercial and government) and employee assistance programs (“Payor”) customers was $12.1 million and $7.3 million, respectively.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is stated net of credit loss allowance. The Company’s methodology for estimating credit loss is generally based on historical collection experience, customer creditworthiness, current and future economic and market conditions. Additionally, specific allowance amounts are established to record the appropriate provision for customers that have a higher probability of default. Accounts receivables are written off after all reasonable means of collection have been exhausted. Credit losses were immaterial for the three months ended March 31, 2026 and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when cash payments from customers are received in advance of the Company's performance obligation to provide services. As of March 31, 2026 and December 31, 2025, deferred revenue related mainly to the Company's Consumer subscription business. The Company expects to satisfy the majority of its performance obligations associated with deferred revenue within one year or less. Revenue recognized in the three months ended March 31, 2026 and 2025 that was included in the deferred revenue balance at the beginning of each reporting period was $0.9 million and $1.7 million,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cash equivalents and marketable securities measured at fair value on a recurring basis as of March 31, 2026 and December 31, 2025: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Measurements as of March 31, 2026</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3"/>
                <w:szCs w:val="13"/>
                <w:i w:val="1"/>
                <w:iCs w:val="1"/>
                <w:color w:val="auto"/>
              </w:rPr>
              <w:t>Unaudited</w:t>
            </w: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13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Adjusted Cost Basis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Unrealized Gains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0"/>
                <w:szCs w:val="10"/>
                <w:color w:val="auto"/>
              </w:rPr>
            </w:pPr>
          </w:p>
        </w:tc>
        <w:tc>
          <w:tcPr>
            <w:tcW w:w="1180" w:type="dxa"/>
            <w:vAlign w:val="bottom"/>
          </w:tcPr>
          <w:p>
            <w:pPr>
              <w:jc w:val="right"/>
              <w:ind w:right="173"/>
              <w:spacing w:after="0" w:line="126"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33"/>
              <w:spacing w:after="0" w:line="126"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68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3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Equivalents</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80" w:type="dxa"/>
            <w:vAlign w:val="bottom"/>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3"/>
                <w:szCs w:val="13"/>
                <w:color w:val="auto"/>
              </w:rPr>
              <w:t>Cash</w:t>
            </w:r>
          </w:p>
        </w:tc>
        <w:tc>
          <w:tcPr>
            <w:tcW w:w="50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1,600</w:t>
            </w:r>
          </w:p>
        </w:tc>
        <w:tc>
          <w:tcPr>
            <w:tcW w:w="740" w:type="dxa"/>
            <w:vAlign w:val="bottom"/>
            <w:gridSpan w:val="3"/>
            <w:shd w:val="clear" w:color="auto" w:fill="CFF0FC"/>
          </w:tcPr>
          <w:p>
            <w:pPr>
              <w:jc w:val="right"/>
              <w:ind w:right="3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1,600</w:t>
            </w:r>
          </w:p>
        </w:tc>
        <w:tc>
          <w:tcPr>
            <w:tcW w:w="380" w:type="dxa"/>
            <w:vAlign w:val="bottom"/>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Level 1:</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Money market funds</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29,811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29,811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29,811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Commercial paper</w:t>
            </w:r>
          </w:p>
        </w:tc>
        <w:tc>
          <w:tcPr>
            <w:tcW w:w="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Level 1:</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31,663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31,662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29,811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Level 2:</w:t>
            </w:r>
          </w:p>
        </w:tc>
        <w:tc>
          <w:tcPr>
            <w:tcW w:w="5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U.S. Treasury securities</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Government securities</w:t>
            </w:r>
          </w:p>
        </w:tc>
        <w:tc>
          <w:tcPr>
            <w:tcW w:w="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Certificates of deposit</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Level 2:</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50,992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50,950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50,950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tcPr>
          <w:p>
            <w:pPr>
              <w:spacing w:after="0"/>
              <w:rPr>
                <w:sz w:val="12"/>
                <w:szCs w:val="12"/>
                <w:color w:val="auto"/>
              </w:rPr>
            </w:pPr>
          </w:p>
        </w:tc>
        <w:tc>
          <w:tcPr>
            <w:tcW w:w="500" w:type="dxa"/>
            <w:vAlign w:val="bottom"/>
          </w:tcPr>
          <w:p>
            <w:pPr>
              <w:jc w:val="right"/>
              <w:ind w:right="3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84,255</w:t>
            </w:r>
          </w:p>
        </w:tc>
        <w:tc>
          <w:tcPr>
            <w:tcW w:w="220" w:type="dxa"/>
            <w:vAlign w:val="bottom"/>
            <w:gridSpan w:val="2"/>
          </w:tcPr>
          <w:p>
            <w:pPr>
              <w:spacing w:after="0"/>
              <w:rPr>
                <w:sz w:val="12"/>
                <w:szCs w:val="12"/>
                <w:color w:val="auto"/>
              </w:rPr>
            </w:pPr>
          </w:p>
        </w:tc>
        <w:tc>
          <w:tcPr>
            <w:tcW w:w="52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(53)</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84,212</w:t>
            </w:r>
          </w:p>
        </w:tc>
        <w:tc>
          <w:tcPr>
            <w:tcW w:w="24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31,411</w:t>
            </w:r>
          </w:p>
        </w:tc>
        <w:tc>
          <w:tcPr>
            <w:tcW w:w="3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52,801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6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Measurements as of December 31, 2025</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right"/>
              <w:ind w:right="173"/>
              <w:spacing w:after="0" w:line="126"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33"/>
              <w:spacing w:after="0" w:line="126" w:lineRule="exact"/>
              <w:rPr>
                <w:sz w:val="20"/>
                <w:szCs w:val="20"/>
                <w:color w:val="auto"/>
              </w:rPr>
            </w:pPr>
            <w:r>
              <w:rPr>
                <w:rFonts w:ascii="Times New Roman" w:cs="Times New Roman" w:eastAsia="Times New Roman" w:hAnsi="Times New Roman"/>
                <w:sz w:val="13"/>
                <w:szCs w:val="13"/>
                <w:b w:val="1"/>
                <w:bCs w:val="1"/>
                <w:color w:val="auto"/>
              </w:rPr>
              <w:t>Marketable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6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3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Adjusted Cost Basis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Unrealized Gains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Equivalents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3"/>
                <w:szCs w:val="13"/>
                <w:color w:val="auto"/>
              </w:rPr>
              <w:t>Cash</w:t>
            </w:r>
          </w:p>
        </w:tc>
        <w:tc>
          <w:tcPr>
            <w:tcW w:w="50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1,059</w:t>
            </w:r>
          </w:p>
        </w:tc>
        <w:tc>
          <w:tcPr>
            <w:tcW w:w="740" w:type="dxa"/>
            <w:vAlign w:val="bottom"/>
            <w:gridSpan w:val="3"/>
            <w:shd w:val="clear" w:color="auto" w:fill="CFF0FC"/>
          </w:tcPr>
          <w:p>
            <w:pPr>
              <w:jc w:val="right"/>
              <w:ind w:right="37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1,059</w:t>
            </w:r>
          </w:p>
        </w:tc>
        <w:tc>
          <w:tcPr>
            <w:tcW w:w="380" w:type="dxa"/>
            <w:vAlign w:val="bottom"/>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20"/>
                <w:szCs w:val="20"/>
                <w:color w:val="auto"/>
              </w:rPr>
            </w:pPr>
            <w:r>
              <w:rPr>
                <w:rFonts w:ascii="Times New Roman" w:cs="Times New Roman" w:eastAsia="Times New Roman" w:hAnsi="Times New Roman"/>
                <w:sz w:val="13"/>
                <w:szCs w:val="13"/>
                <w:color w:val="auto"/>
              </w:rPr>
              <w:t>Level 1:</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Money market funds</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36,293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36,293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36,293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Commercial paper</w:t>
            </w: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Level 1:</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37,279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37,279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36,293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Level 2:</w:t>
            </w:r>
          </w:p>
        </w:tc>
        <w:tc>
          <w:tcPr>
            <w:tcW w:w="5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U.S. Treasury securities</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 Government securities</w:t>
            </w:r>
          </w:p>
        </w:tc>
        <w:tc>
          <w:tcPr>
            <w:tcW w:w="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Certificates of deposit</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34,245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Level 2:</w:t>
            </w:r>
          </w:p>
        </w:tc>
        <w:tc>
          <w:tcPr>
            <w:tcW w:w="5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54,191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54,248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54,248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tcPr>
          <w:p>
            <w:pPr>
              <w:spacing w:after="0"/>
              <w:rPr>
                <w:sz w:val="12"/>
                <w:szCs w:val="12"/>
                <w:color w:val="auto"/>
              </w:rPr>
            </w:pPr>
          </w:p>
        </w:tc>
        <w:tc>
          <w:tcPr>
            <w:tcW w:w="500" w:type="dxa"/>
            <w:vAlign w:val="bottom"/>
          </w:tcPr>
          <w:p>
            <w:pPr>
              <w:jc w:val="right"/>
              <w:ind w:right="38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92,529</w:t>
            </w:r>
          </w:p>
        </w:tc>
        <w:tc>
          <w:tcPr>
            <w:tcW w:w="220" w:type="dxa"/>
            <w:vAlign w:val="bottom"/>
            <w:gridSpan w:val="2"/>
          </w:tcPr>
          <w:p>
            <w:pPr>
              <w:spacing w:after="0"/>
              <w:rPr>
                <w:sz w:val="12"/>
                <w:szCs w:val="12"/>
                <w:color w:val="auto"/>
              </w:rPr>
            </w:pPr>
          </w:p>
        </w:tc>
        <w:tc>
          <w:tcPr>
            <w:tcW w:w="52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59</w:t>
            </w:r>
          </w:p>
        </w:tc>
        <w:tc>
          <w:tcPr>
            <w:tcW w:w="3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92,586</w:t>
            </w:r>
          </w:p>
        </w:tc>
        <w:tc>
          <w:tcPr>
            <w:tcW w:w="24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37,352</w:t>
            </w:r>
          </w:p>
        </w:tc>
        <w:tc>
          <w:tcPr>
            <w:tcW w:w="38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55,234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-2296795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-2296795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-2296795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-2296795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-2296795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-2296795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-1713865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-1713865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-1713865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-1713865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-1713865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-710565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-710565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-710565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-710565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-710565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-710565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-128270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-128270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-128270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-128270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-128270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other current assets, accounts payable, and accrued expenses and other current liabilities approximate fair value because of the relatively short-term nature of the underlying assets or liabilities. The Company's marketable securities are managed by an external investment advisor. These securities are recorded at fair value and are generally classified within Level 1 or Level 2 of the fair value hierarchy using quoted market prices or quotes from market makers or broker-dealers. Marketable securities classified within Level 1 are valued based on quoted market prices in active markets and consist of commercial paper. Level 2 marketable securities primarily consist of investment grade and high-yield corporate debt, U.S. Treasury securities, U.S. Government securities and certificates of deposit. Financial instruments classified as Level 2 are valued based on quoted market prices for similar assets or liabilities or quoted prices in markets that are not active; or other inputs that are observable or can be corroborated by observable market data for substantially the full term of the assets or liabilities. The Company periodically validates the prices provided by the investment advisor by comparing them to other independent pricing sources or through an internal review of the advisor's valuation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remaining contractual maturities of the Company's marketable securities as of March 31, 2026: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3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after one year to two years</w:t>
            </w:r>
          </w:p>
        </w:tc>
        <w:tc>
          <w:tcPr>
            <w:tcW w:w="28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Private Placement Warrants are valued using the Black-Scholes-Merton Model, which is considered to be a Level 3 fair value measurement, as such they are classified within Level 3 of the fair value hierarchy.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Private Placement Warrants measured at fair value on a recurring basis for the three months ended March 31, 2026 and 2025:</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Level 3 Liabilities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Level 3 Liabilities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inputs utilized in determining the fair value of the Private Placement Warrants as of March 31, 2026 and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3740" w:type="dxa"/>
            <w:vAlign w:val="bottom"/>
            <w:tcBorders>
              <w:bottom w:val="single" w:sz="8" w:color="auto"/>
            </w:tcBorders>
            <w:gridSpan w:val="3"/>
          </w:tcPr>
          <w:p>
            <w:pPr>
              <w:ind w:left="2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680" w:type="dxa"/>
            <w:vAlign w:val="bottom"/>
            <w:tcBorders>
              <w:bottom w:val="single" w:sz="8" w:color="auto"/>
            </w:tcBorders>
          </w:tcPr>
          <w:p>
            <w:pPr>
              <w:jc w:val="right"/>
              <w:ind w:right="11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1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(1)</w:t>
            </w:r>
          </w:p>
        </w:tc>
        <w:tc>
          <w:tcPr>
            <w:tcW w:w="3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2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3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62.6%</w:t>
            </w:r>
          </w:p>
        </w:tc>
        <w:tc>
          <w:tcPr>
            <w:tcW w:w="660" w:type="dxa"/>
            <w:vAlign w:val="bottom"/>
          </w:tcPr>
          <w:p>
            <w:pPr>
              <w:spacing w:after="0"/>
              <w:rPr>
                <w:sz w:val="18"/>
                <w:szCs w:val="18"/>
                <w:color w:val="auto"/>
              </w:rPr>
            </w:pPr>
          </w:p>
        </w:tc>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3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3.71%</w:t>
            </w:r>
          </w:p>
        </w:tc>
        <w:tc>
          <w:tcPr>
            <w:tcW w:w="66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Term to warrant expiration (years)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hanging="216"/>
        <w:spacing w:after="0"/>
        <w:tabs>
          <w:tab w:leader="none" w:pos="3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during the three months ended March 31, 2026 and 2025.</w:t>
      </w:r>
    </w:p>
    <w:p>
      <w:pPr>
        <w:spacing w:after="0" w:line="43" w:lineRule="exact"/>
        <w:rPr>
          <w:rFonts w:ascii="Times New Roman" w:cs="Times New Roman" w:eastAsia="Times New Roman" w:hAnsi="Times New Roman"/>
          <w:sz w:val="15"/>
          <w:szCs w:val="15"/>
          <w:color w:val="auto"/>
        </w:rPr>
      </w:pPr>
    </w:p>
    <w:p>
      <w:pPr>
        <w:ind w:left="300" w:hanging="216"/>
        <w:spacing w:after="0"/>
        <w:tabs>
          <w:tab w:leader="none" w:pos="3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is based on the back-solved implied volatility of the Company's public warrants as of the valuation date.</w:t>
      </w:r>
    </w:p>
    <w:p>
      <w:pPr>
        <w:spacing w:after="0" w:line="43" w:lineRule="exact"/>
        <w:rPr>
          <w:rFonts w:ascii="Times New Roman" w:cs="Times New Roman" w:eastAsia="Times New Roman" w:hAnsi="Times New Roman"/>
          <w:sz w:val="15"/>
          <w:szCs w:val="15"/>
          <w:color w:val="auto"/>
        </w:rPr>
      </w:pPr>
    </w:p>
    <w:p>
      <w:pPr>
        <w:ind w:left="300" w:hanging="216"/>
        <w:spacing w:after="0"/>
        <w:tabs>
          <w:tab w:leader="none" w:pos="3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risk-free interest rate is based on the yield from U.S. Treasury bonds with an equivalent term to the time to maturity of the warrants.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FIXED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 net, as of March 31, 2026 and December 31, 2025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tcPr>
          <w:p>
            <w:pPr>
              <w:jc w:val="right"/>
              <w:ind w:right="63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21,360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17,945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equipment</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0"/>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22,293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18,891</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09"/>
        </w:trPr>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18,000</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15,794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-454025</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capitalized $3.4 million of qualifying internal-use software development costs primarily related to the Company's technology platform and Sentia AI, LLC (the Company's wholly-owned subsidiary dedicated to proprietary Artificial Intelligence (“AI”) development).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CONTINGENT LIABILITIES</w:t>
      </w: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There were no material pending legal proceedings, claims or litigation as of March 31,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CAPITAL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stock repurchases during the three months ended March 31, 2026. During the three months ended March 31, 2025, the Company repurchased and retired an aggregate of 2,519,170 shares of its common stock for a total consideration of $7.0 million ($2.76 per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$11.8 million remained available under the Share Repurchase Program.</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Repurchase Program does not obligate the Company to repurchase any dollar amount or number of shares, and may be modified, suspended, or discontinued at any time at the Company’s discretion without prior notice. All shares repurchased will be retired.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2021, the Company adopted the 2021 Incentive Award Plan (the “2021 Plan”) under which the Company may grant cash and equity incentive awards to officers, employees, directors, consultants and service providers in order to attract, motivate and retain talent. The 2021 Plan replaced the Company's previous stock compensation plan.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generally recognized on a straight-line basis in the Company’s condensed consolidated income statements over the requisite service period (generally requiring a four-year vesting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stock-based compensation expense related to stock options and restricted stock units included in the respective components of operating expenses in the condensed consolidated income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54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60" w:type="dxa"/>
            <w:vAlign w:val="bottom"/>
          </w:tcPr>
          <w:p>
            <w:pPr>
              <w:spacing w:after="0"/>
              <w:rPr>
                <w:sz w:val="12"/>
                <w:szCs w:val="12"/>
                <w:color w:val="auto"/>
              </w:rPr>
            </w:pPr>
          </w:p>
        </w:tc>
        <w:tc>
          <w:tcPr>
            <w:tcW w:w="1360" w:type="dxa"/>
            <w:vAlign w:val="bottom"/>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2"/>
                <w:szCs w:val="12"/>
                <w:color w:val="auto"/>
              </w:rPr>
            </w:pPr>
          </w:p>
        </w:tc>
        <w:tc>
          <w:tcPr>
            <w:tcW w:w="166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1360" w:type="dxa"/>
            <w:vAlign w:val="bottom"/>
            <w:tcBorders>
              <w:top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20" w:type="dxa"/>
            <w:vAlign w:val="bottom"/>
            <w:gridSpan w:val="2"/>
            <w:shd w:val="clear" w:color="auto" w:fill="CFF0FC"/>
          </w:tcPr>
          <w:p>
            <w:pPr>
              <w:jc w:val="right"/>
              <w:ind w:right="118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6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Clinical operations</w:t>
            </w:r>
          </w:p>
        </w:tc>
        <w:tc>
          <w:tcPr>
            <w:tcW w:w="2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3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6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18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3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INCOME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basic net (loss) income per share is calculated by dividing net (loss) income attributable to ordinary shareholders by the weighted-average number of shares of common stock outstanding for the period, without consideration of potentially dilutive securities. The diluted net (loss) income per share is calculated by giving effect to all potentially dilutive securities outstanding for the period using the treasury stock method or the if-converted method based on the nature of such securities. Diluted net (loss) income per share is the same as basic net (loss) income per share in periods when the effects of potentially dilutive shares of common stock are anti-dilutive.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180" w:type="dxa"/>
            <w:vAlign w:val="bottom"/>
          </w:tcPr>
          <w:p>
            <w:pPr>
              <w:spacing w:after="0"/>
              <w:rPr>
                <w:sz w:val="15"/>
                <w:szCs w:val="15"/>
                <w:color w:val="auto"/>
              </w:rPr>
            </w:pPr>
          </w:p>
        </w:tc>
        <w:tc>
          <w:tcPr>
            <w:tcW w:w="4060" w:type="dxa"/>
            <w:vAlign w:val="bottom"/>
            <w:tcBorders>
              <w:bottom w:val="single" w:sz="8" w:color="auto"/>
            </w:tcBorders>
            <w:gridSpan w:val="3"/>
          </w:tcPr>
          <w:p>
            <w:pPr>
              <w:jc w:val="right"/>
              <w:ind w:right="90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156"/>
        </w:trPr>
        <w:tc>
          <w:tcPr>
            <w:tcW w:w="71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 except number of shares and per share amounts)</w:t>
            </w:r>
          </w:p>
        </w:tc>
        <w:tc>
          <w:tcPr>
            <w:tcW w:w="1940" w:type="dxa"/>
            <w:vAlign w:val="bottom"/>
          </w:tcPr>
          <w:p>
            <w:pPr>
              <w:jc w:val="right"/>
              <w:ind w:right="74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2120" w:type="dxa"/>
            <w:vAlign w:val="bottom"/>
            <w:gridSpan w:val="2"/>
          </w:tcPr>
          <w:p>
            <w:pPr>
              <w:jc w:val="right"/>
              <w:ind w:right="74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155"/>
        </w:trPr>
        <w:tc>
          <w:tcPr>
            <w:tcW w:w="7180" w:type="dxa"/>
            <w:vAlign w:val="bottom"/>
            <w:vMerge w:val="continue"/>
          </w:tcPr>
          <w:p>
            <w:pPr>
              <w:spacing w:after="0"/>
              <w:rPr>
                <w:sz w:val="13"/>
                <w:szCs w:val="13"/>
                <w:color w:val="auto"/>
              </w:rPr>
            </w:pPr>
          </w:p>
        </w:tc>
        <w:tc>
          <w:tcPr>
            <w:tcW w:w="1940" w:type="dxa"/>
            <w:vAlign w:val="bottom"/>
            <w:tcBorders>
              <w:top w:val="single" w:sz="8" w:color="auto"/>
            </w:tcBorders>
          </w:tcPr>
          <w:p>
            <w:pPr>
              <w:jc w:val="right"/>
              <w:ind w:right="584"/>
              <w:spacing w:after="0" w:line="156" w:lineRule="exact"/>
              <w:rPr>
                <w:sz w:val="20"/>
                <w:szCs w:val="20"/>
                <w:color w:val="auto"/>
              </w:rPr>
            </w:pPr>
            <w:r>
              <w:rPr>
                <w:rFonts w:ascii="Times New Roman" w:cs="Times New Roman" w:eastAsia="Times New Roman" w:hAnsi="Times New Roman"/>
                <w:sz w:val="15"/>
                <w:szCs w:val="15"/>
                <w:i w:val="1"/>
                <w:iCs w:val="1"/>
                <w:color w:val="auto"/>
              </w:rPr>
              <w:t>Unaudited</w:t>
            </w:r>
          </w:p>
        </w:tc>
        <w:tc>
          <w:tcPr>
            <w:tcW w:w="180" w:type="dxa"/>
            <w:vAlign w:val="bottom"/>
          </w:tcPr>
          <w:p>
            <w:pPr>
              <w:spacing w:after="0"/>
              <w:rPr>
                <w:sz w:val="13"/>
                <w:szCs w:val="13"/>
                <w:color w:val="auto"/>
              </w:rPr>
            </w:pPr>
          </w:p>
        </w:tc>
        <w:tc>
          <w:tcPr>
            <w:tcW w:w="1940" w:type="dxa"/>
            <w:vAlign w:val="bottom"/>
            <w:tcBorders>
              <w:top w:val="single" w:sz="8" w:color="auto"/>
            </w:tcBorders>
          </w:tcPr>
          <w:p>
            <w:pPr>
              <w:jc w:val="right"/>
              <w:ind w:right="584"/>
              <w:spacing w:after="0" w:line="156" w:lineRule="exact"/>
              <w:rPr>
                <w:sz w:val="20"/>
                <w:szCs w:val="20"/>
                <w:color w:val="auto"/>
              </w:rPr>
            </w:pPr>
            <w:r>
              <w:rPr>
                <w:rFonts w:ascii="Times New Roman" w:cs="Times New Roman" w:eastAsia="Times New Roman" w:hAnsi="Times New Roman"/>
                <w:sz w:val="15"/>
                <w:szCs w:val="15"/>
                <w:i w:val="1"/>
                <w:iCs w:val="1"/>
                <w:color w:val="auto"/>
              </w:rPr>
              <w:t>Unaudited</w:t>
            </w:r>
          </w:p>
        </w:tc>
        <w:tc>
          <w:tcPr>
            <w:tcW w:w="0" w:type="dxa"/>
            <w:vAlign w:val="bottom"/>
          </w:tcPr>
          <w:p>
            <w:pPr>
              <w:spacing w:after="0"/>
              <w:rPr>
                <w:sz w:val="1"/>
                <w:szCs w:val="1"/>
                <w:color w:val="auto"/>
              </w:rPr>
            </w:pPr>
          </w:p>
        </w:tc>
      </w:tr>
      <w:tr>
        <w:trPr>
          <w:trHeight w:val="162"/>
        </w:trPr>
        <w:tc>
          <w:tcPr>
            <w:tcW w:w="71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(loss) income</w:t>
            </w:r>
          </w:p>
        </w:tc>
        <w:tc>
          <w:tcPr>
            <w:tcW w:w="1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$(6,306)</w:t>
            </w:r>
          </w:p>
        </w:tc>
        <w:tc>
          <w:tcPr>
            <w:tcW w:w="21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162"/>
        </w:trPr>
        <w:tc>
          <w:tcPr>
            <w:tcW w:w="71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Weighted average shares used to compute net (loss) income per share:</w:t>
            </w: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Basic</w:t>
            </w:r>
          </w:p>
        </w:tc>
        <w:tc>
          <w:tcPr>
            <w:tcW w:w="1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167,075,636</w:t>
            </w:r>
          </w:p>
        </w:tc>
        <w:tc>
          <w:tcPr>
            <w:tcW w:w="21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168,670,861</w:t>
            </w:r>
          </w:p>
        </w:tc>
        <w:tc>
          <w:tcPr>
            <w:tcW w:w="0" w:type="dxa"/>
            <w:vAlign w:val="bottom"/>
          </w:tcPr>
          <w:p>
            <w:pPr>
              <w:spacing w:after="0"/>
              <w:rPr>
                <w:sz w:val="1"/>
                <w:szCs w:val="1"/>
                <w:color w:val="auto"/>
              </w:rPr>
            </w:pPr>
          </w:p>
        </w:tc>
      </w:tr>
      <w:tr>
        <w:trPr>
          <w:trHeight w:val="162"/>
        </w:trPr>
        <w:tc>
          <w:tcPr>
            <w:tcW w:w="7180" w:type="dxa"/>
            <w:vAlign w:val="bottom"/>
          </w:tcPr>
          <w:p>
            <w:pPr>
              <w:ind w:left="180"/>
              <w:spacing w:after="0" w:line="162" w:lineRule="exact"/>
              <w:rPr>
                <w:sz w:val="20"/>
                <w:szCs w:val="20"/>
                <w:color w:val="auto"/>
              </w:rPr>
            </w:pPr>
            <w:r>
              <w:rPr>
                <w:rFonts w:ascii="Times New Roman" w:cs="Times New Roman" w:eastAsia="Times New Roman" w:hAnsi="Times New Roman"/>
                <w:sz w:val="15"/>
                <w:szCs w:val="15"/>
                <w:color w:val="auto"/>
              </w:rPr>
              <w:t>Dilutive effect of share-based awards</w:t>
            </w:r>
          </w:p>
        </w:tc>
        <w:tc>
          <w:tcPr>
            <w:tcW w:w="1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1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6,875,026</w:t>
            </w:r>
          </w:p>
        </w:tc>
        <w:tc>
          <w:tcPr>
            <w:tcW w:w="0" w:type="dxa"/>
            <w:vAlign w:val="bottom"/>
          </w:tcPr>
          <w:p>
            <w:pPr>
              <w:spacing w:after="0"/>
              <w:rPr>
                <w:sz w:val="1"/>
                <w:szCs w:val="1"/>
                <w:color w:val="auto"/>
              </w:rPr>
            </w:pPr>
          </w:p>
        </w:tc>
      </w:tr>
      <w:tr>
        <w:trPr>
          <w:trHeight w:val="162"/>
        </w:trPr>
        <w:tc>
          <w:tcPr>
            <w:tcW w:w="71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Diluted</w:t>
            </w:r>
          </w:p>
        </w:tc>
        <w:tc>
          <w:tcPr>
            <w:tcW w:w="1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167,075,636</w:t>
            </w:r>
          </w:p>
        </w:tc>
        <w:tc>
          <w:tcPr>
            <w:tcW w:w="21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175,545,887</w:t>
            </w:r>
          </w:p>
        </w:tc>
        <w:tc>
          <w:tcPr>
            <w:tcW w:w="0" w:type="dxa"/>
            <w:vAlign w:val="bottom"/>
          </w:tcPr>
          <w:p>
            <w:pPr>
              <w:spacing w:after="0"/>
              <w:rPr>
                <w:sz w:val="1"/>
                <w:szCs w:val="1"/>
                <w:color w:val="auto"/>
              </w:rPr>
            </w:pPr>
          </w:p>
        </w:tc>
      </w:tr>
      <w:tr>
        <w:trPr>
          <w:trHeight w:val="162"/>
        </w:trPr>
        <w:tc>
          <w:tcPr>
            <w:tcW w:w="71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(loss) income per share:</w:t>
            </w: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Basic</w:t>
            </w:r>
          </w:p>
        </w:tc>
        <w:tc>
          <w:tcPr>
            <w:tcW w:w="1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$(0.04)</w:t>
            </w:r>
          </w:p>
        </w:tc>
        <w:tc>
          <w:tcPr>
            <w:tcW w:w="212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$0.00</w:t>
            </w:r>
          </w:p>
        </w:tc>
        <w:tc>
          <w:tcPr>
            <w:tcW w:w="0" w:type="dxa"/>
            <w:vAlign w:val="bottom"/>
          </w:tcPr>
          <w:p>
            <w:pPr>
              <w:spacing w:after="0"/>
              <w:rPr>
                <w:sz w:val="1"/>
                <w:szCs w:val="1"/>
                <w:color w:val="auto"/>
              </w:rPr>
            </w:pPr>
          </w:p>
        </w:tc>
      </w:tr>
      <w:tr>
        <w:trPr>
          <w:trHeight w:val="198"/>
        </w:trPr>
        <w:tc>
          <w:tcPr>
            <w:tcW w:w="71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Diluted</w:t>
            </w:r>
          </w:p>
        </w:tc>
        <w:tc>
          <w:tcPr>
            <w:tcW w:w="1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$0.00</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shares underlying the following were excluded from the calculation of diluted net loss per share since each would have had an anti-dilutive effect: 8,938,904 vested and non-vested stock options outstanding, 6,162,681 non-vested restricted stock units outstanding, 12,757,500 Private Placement Warrants and 20,722,500 Public Warrants to purchase the Company’s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shares underlying the following were excluded from the calculation of diluted net income per share since each would have had an anti-dilutive effect: 724,423 vested and non-vested stock options outstanding, 11,255 non-vested restricted stock units outstanding, 12,757,500 Private Placement Warrants and 20,722,500 Public Warrants to purchase the Company’s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included within accrued expenses and other current liabilities as of March 31, 2026 and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5"/>
                <w:szCs w:val="15"/>
                <w:color w:val="auto"/>
              </w:rPr>
            </w:pPr>
          </w:p>
        </w:tc>
        <w:tc>
          <w:tcPr>
            <w:tcW w:w="17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3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 ("VIEs")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through its subsidiary Talkspace LLC, is party to various agreements including Management Services Agreements (“MSAs”) with a Texas professional association entity (Talkspace Provider Network, PA or “TPN”), which in turn contracts with the Company's other affiliated professional entities (“PC entities”), physicians, therapists, and other licensed professionals to provide clinical and professional services to the Company's members.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MSAs, Talkspace LLC is the managing entity (the “Manager”) and provides management and administrative resources and services essential to the operations of TPN and the PC entities and receives a management fee for these services and reimbursement of expenses incurred. TPN and the PC entities in turn have the obligation under the MSAs to engage all licensed physicians and other health professionals to provide behavioral healthcare services to the Company's members. In addition, to the extent that TPN or the PC entities lack sufficient funds to meet their obligations, the Manager may, at its sole discretion, advance funds to TPN or the PC entities to cover these obligations. Such advances would be considered loans made by the Manager and should be repaid as per the terms of the management agreement. No such advances have been made by the Manager to TPN or the PC entities as of March 31, 2026.</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ownership, contractual and other interests in entities that are not wholly-owned to determine if these entities are Variable Interest Entities (“VIEs”), and, if so, whether the Company is the primary beneficiary of the VIE. The Company's policy is to consolidate any VIEs where the Company is deemed to be the primary beneficiary. The Company determined that it holds a variable interest in TPN and the PC entities. The Company evaluates whether an entity in which it has a variable interest is considered a VIE as defined under ASC 810, “Consolidation.” VIEs are generally entities that have either a total equity investment that is insufficient to permit the entity to finance its activities without additional subordinated financial support, or whose equity investors lack the characteristics of a controlling financial interest. The Company determined that TPN and the PC entities are VIEs and that it is the primary beneficiary of these VIEs as it is able to direct the activities of TPN and the PC entities that most significantly impact their economic performance and fund and absorb all their losses; therefore, the Company consolidates these VIEs.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assets of the Company’s consolidated VIEs are subject to legal, contractual, and regulatory restrictions that limit their use to specified purposes such as funding clinical operations, paying salaries to employees and providers, servicing practice-related debt, and meeting regulatory or Payor obligations. The liabilities of these VIEs may be subject to contractual limitations on settlement. Creditors and beneficial interest holders of the VIEs generally have recourse only to the assets of the VIEs and not to the general credit of the Company. The Company’s maximum exposure to loss from these VIEs is limited to its interests in the VIEs and any specific contractual requirements, including guarantees or other commitments, if any.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and liabilities of the VIEs as of March 31, 2026 and December 31, 2025. The assets and liabilities in the table below are presented prior to consolidation and thus a portion of these assets and liabilities are eliminated in consolidation.</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28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20,882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13,332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52,421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46,321</w:t>
            </w:r>
          </w:p>
        </w:tc>
        <w:tc>
          <w:tcPr>
            <w:tcW w:w="0" w:type="dxa"/>
            <w:vAlign w:val="bottom"/>
          </w:tcPr>
          <w:p>
            <w:pPr>
              <w:spacing w:after="0"/>
              <w:rPr>
                <w:sz w:val="1"/>
                <w:szCs w:val="1"/>
                <w:color w:val="auto"/>
              </w:rPr>
            </w:pPr>
          </w:p>
        </w:tc>
      </w:tr>
      <w:tr>
        <w:trPr>
          <w:trHeight w:val="196"/>
        </w:trPr>
        <w:tc>
          <w:tcPr>
            <w:tcW w:w="44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0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4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-1353820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-1336675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-1053465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2025.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2025 and “Forward-Looking Statements” sections and elsewhere in this Quarterly Report, our actual results may differ materially from those anticipated in these forward-looking statements.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this section is to discuss and analyze our consolidated financial condition, liquidity and capital resources and results of operations for the three months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Talkspace is a leading virtual behavioral healthcare company offering its members convenient and affordable access to a fully-credentialed network of highly qualified providers across a wide and growing spectrum of care through virtual psychotherapy and psychiatry. All care offered at Talkspace is delivered through an easy-to-use, fully-encrypted web and mobile platform that meets HIPAA, federal, and state regulatory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customers are comprised of the following:</w:t>
      </w:r>
    </w:p>
    <w:p>
      <w:pPr>
        <w:spacing w:after="0" w:line="171" w:lineRule="exact"/>
        <w:rPr>
          <w:sz w:val="20"/>
          <w:szCs w:val="20"/>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plans from commercial and government institutions, and employee assistance programs (“Payor”), who offer their members access to our platform at in-network reimbursement rates,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Direct-to-Enterprise (“DTE”), who offer their enterprise members access to our platform while their enterprise is under an active contract with Talkspace,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subscribers (“Consumer”), who subscribe directly to our platform.</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our revenues were $61.7 million compared to $52.2 million for the three months ended March 31, 2025. For the three months ended March 31, 2026, our clinicians completed approximately 459,300 sessions, related to members covered under our Payor customers, compared to 350,000 completed sessions, for the three months ended March 31, 2025. As of March 31, 2026, we had approximately 5,200 Consumer active members compared to 6,900 Consumer active members as of March 31, 2025. Please refer to the “Key Business Metrics” section below for a description of Consumer active members.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Merger with Universal Health Services, Inc.</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9, 2026, we entered into a definitive Agreement and Plan of Merger (the “Merger Agreement”) with Universal Health Services, Inc., a Delaware corporation (“UHS”), and UHS Merger Subsidiary, Inc., a Delaware corporation and an indirect wholly owned subsidiary of UHS (“Merger Subsidiary”), pursuant to which, among other things, Merger Subsidiary will merge with and into us (the “Merger”), with us continuing as the surviving corporation and a wholly-owned subsidiary of UHS.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of the Merger, each issued and outstanding share of our common stock (subject to certain exceptions set forth in the Merger Agreement) will be cancelled and converted into the right to receive $5.25 per share in cash, without interest and subject to any applicable withholding taxes. The Company’s board of directors unanimously approved and declared advisable the Merger Agreement on March 6, 2026, and the Company has scheduled a special meeting of stockholders for May 29, 2026 to vote on adoption of the Merger Agreement.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completion of the Merger, we will be delisted from the NASDAQ Global Select Market and deregistered under the Securities Exchange Act of 1934, as amended, as soon as reasonably practicable following the effective time, and the Company expects to file a Form 15 to suspend its reporting obligations under the Exchange Act as soon as practicable thereafter. We have made customary representations and warranties in the Merger Agreement and have agreed to customary covenants regarding the operation of our business prior to the consummation of the Merger.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Consummation of the Merger is subject to customary closing conditions, including termination or expiration of any waiting periods required under the Hart-Scott-Rodino (“HSR”) Act and certain specified state healthcare laws, approval by our stockholders and other customary closing conditions. The transaction is expected to close in the third quarter of 2026.</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transaction-related costs, including financial advisory, legal, and accounting fees, which will be recognized as expense in the periods incurred during fiscal year 2026.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subject to, and qualified in its entirety by, the full text of the Merger Agreement, which is attached as Annex A to the Company’s Definitive Proxy Statement on Schedule 14A filed with the SEC on April 20, 2026. For additional information related to the Merger Agreement, please also refer to the other relevant materials in connection with the transaction that we will file with the SEC and that will contain important information about us and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Automation and Artificial Intelligence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Sentia AI, LLC is Talkspace’s wholly-owned subsidiary dedicated to proprietary Artificial Intelligence (“AI”) development. “Sentia” refers to Talkspace’s behavioral-health-focused large language model (“LLM”) that Talkspace intends to utilize in future products, primarily where a member has a conversation with an agent. Sentia currently exists as a beta-tested, user-facing interface product where members engage with our LLM regarding their mental well-being. This model does not replace clinicians but extends their reach, adhering to strict clinical standards while identifying millions of new users who may require human intervention. While we believe this integration will enhance member engagement and reduce clinician burnout, the cost of compute resources associated with LLMs may impact our technology and development expenses. Furthermore, if the AI-generated outputs fail to meet clinical or regulatory standards, it could result in increased liability or decreased user trust, reputational harm, additional regulatory scrutiny, and reduced demand for our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 and Economic Conditions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our solution is dependent on the general economy, which is in turn affected by geopolitical conditions, the stability of the global credit markets, inflationary pressures, higher interest rates, the industries in which our Payor and DTE customers operate or serve, and other factors. Downturns in the general economy could disproportionately affect the demand for our solution and cause it to decrease.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could also be impacted by inflation and higher interest rates. Inflation did not have a material effect on our business, financial condition or results of operations for the three months ended March 31, 2026 and 2025.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Big Beautiful Bill Act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One Big Beautiful Act (“OBBBA”) was enacted, introducing amendments to the U.S. federal income tax code. The OBBBA permanently restores 100% bonus depreciation for qualified property acquired and placed in service after January 19, 2025, and allows immediate expensing of domestic research and experimental expenditures for tax years beginning after December 31, 2024. Although we continue to maintain a full valuation allowance against our U.S. deferred tax assets as of March 31, 2026, we expect these provisions to increase available deductions and extend the period during which future taxable income may be sheltered, improving liquidity to the extent we generate taxable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Fluctuations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results may fluctuate from period-to-period as a result of a variety of factors, many of which are outside of our control, including, without limitation, the factors described in this section. Most of our revenue in any given quarter is derived from contracts entered into with our customers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customers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which is how the chief operating decision maker (“CODM”), who is the Chief Executive Officer, reviews financial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31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customers or otherwise indicated)</w:t>
            </w:r>
          </w:p>
        </w:tc>
        <w:tc>
          <w:tcPr>
            <w:tcW w:w="1240" w:type="dxa"/>
            <w:vAlign w:val="bottom"/>
          </w:tcPr>
          <w:p>
            <w:pPr>
              <w:jc w:val="center"/>
              <w:ind w:left="4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900" w:type="dxa"/>
            <w:vAlign w:val="bottom"/>
            <w:gridSpan w:val="3"/>
          </w:tcPr>
          <w:p>
            <w:pPr>
              <w:jc w:val="center"/>
              <w:ind w:left="10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20" w:type="dxa"/>
            <w:vAlign w:val="bottom"/>
            <w:vMerge w:val="continue"/>
          </w:tcPr>
          <w:p>
            <w:pPr>
              <w:spacing w:after="0"/>
              <w:rPr>
                <w:sz w:val="12"/>
                <w:szCs w:val="12"/>
                <w:color w:val="auto"/>
              </w:rPr>
            </w:pPr>
          </w:p>
        </w:tc>
        <w:tc>
          <w:tcPr>
            <w:tcW w:w="1240" w:type="dxa"/>
            <w:vAlign w:val="bottom"/>
            <w:tcBorders>
              <w:top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top w:val="single" w:sz="8" w:color="auto"/>
            </w:tcBorders>
          </w:tcPr>
          <w:p>
            <w:pPr>
              <w:jc w:val="center"/>
              <w:ind w:left="408"/>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completed Payor sessions during the period</w:t>
            </w: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Number of health plan customers at period end</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enterprise customers at period end</w:t>
            </w: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Number of Consumer active members at period end</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17"/>
                <w:szCs w:val="17"/>
                <w:color w:val="auto"/>
              </w:rPr>
            </w:pPr>
          </w:p>
        </w:tc>
        <w:tc>
          <w:tcPr>
            <w:tcW w:w="31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900" w:type="dxa"/>
            <w:vAlign w:val="bottom"/>
            <w:gridSpan w:val="3"/>
          </w:tcPr>
          <w:p>
            <w:pPr>
              <w:jc w:val="center"/>
              <w:ind w:left="10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620" w:type="dxa"/>
            <w:vAlign w:val="bottom"/>
            <w:vMerge w:val="continue"/>
          </w:tcPr>
          <w:p>
            <w:pPr>
              <w:spacing w:after="0"/>
              <w:rPr>
                <w:sz w:val="13"/>
                <w:szCs w:val="13"/>
                <w:color w:val="auto"/>
              </w:rPr>
            </w:pPr>
          </w:p>
        </w:tc>
        <w:tc>
          <w:tcPr>
            <w:tcW w:w="1240" w:type="dxa"/>
            <w:vAlign w:val="bottom"/>
            <w:tcBorders>
              <w:top w:val="single" w:sz="8" w:color="auto"/>
            </w:tcBorders>
            <w:vMerge w:val="restart"/>
          </w:tcPr>
          <w:p>
            <w:pPr>
              <w:jc w:val="center"/>
              <w:ind w:left="40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vMerge w:val="restart"/>
          </w:tcPr>
          <w:p>
            <w:pPr>
              <w:jc w:val="center"/>
              <w:ind w:left="40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6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Unique active Payor members during the period</w:t>
            </w: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Consumer Active Members: </w:t>
      </w:r>
      <w:r>
        <w:rPr>
          <w:rFonts w:ascii="Times New Roman" w:cs="Times New Roman" w:eastAsia="Times New Roman" w:hAnsi="Times New Roman"/>
          <w:sz w:val="18"/>
          <w:szCs w:val="18"/>
          <w:color w:val="auto"/>
        </w:rPr>
        <w:t>We consider consumer members “active” commencing on the date such member initiates contact with a provider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until the term of their monthly, quarterly or bi-annual subscription plan expires, unless terminated early.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Unique Payor Active Members: </w:t>
      </w:r>
      <w:r>
        <w:rPr>
          <w:rFonts w:ascii="Times New Roman" w:cs="Times New Roman" w:eastAsia="Times New Roman" w:hAnsi="Times New Roman"/>
          <w:sz w:val="18"/>
          <w:szCs w:val="18"/>
          <w:color w:val="auto"/>
        </w:rPr>
        <w:t>Represents unique users who had a session completed during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from services provided to individuals who are qualified to receive access to the Company's services through our commercial arrangements with health insurance plans, employee assistance organizations and enterprises. We also generate revenue from the sale of monthly, quarterly, bi-annual and annual membership subscriptions to the Company's therapy platform as well as supplementary a la carte offerings directly to individual consumers through a subscription plan. See Note 3, “Revenue Recognition” in the notes to the condensed consolidated financial statements for further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excluding depreciation and amortization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is comprised primarily of therapist payments. Cost of revenue is largely driven by the number of sessions and the size of our provider network that is required to service the growth of our Payor and DTE customers, in addition to the growth of our customer base.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 While we expect to make increased investments to support accelerated growth and scale our provider network, we also expect increased efficiencies and economies of scale. Our cost of revenue as a percentage of revenue is expected to fluctuate from period to period depending on the interplay of these factors as well as pricing fluctuations.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development costs.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participation in trade shows, brand messaging and costs of communications materials that are produced for our customers to generate greater awareness and utilization of our platform among our Payor and DTE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certain executives, finance, accounting, legal and human resources functions, as well as professional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 primarily of depreciation expense on capitalized internal use-software costs, computer and equipment and amortization of intangible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income, net includes the impact from (i) interest earned in investments in marketable securities and other highly liquid investments, (ii) non-cash changes in the fair value of our warrant liabilities, and (iii) other financial expenses in connection with bank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consists of U.S. State income taxes related to income generated by our U.S. subsidiaries and foreign income taxes related to income generated by our subsidiary organized under the laws of Israel. 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three months ended March 31, 2026 and 2025 and the dollar and percentage change between the respective periods: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4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14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Payor revenue</w:t>
            </w:r>
          </w:p>
        </w:tc>
        <w:tc>
          <w:tcPr>
            <w:tcW w:w="1400" w:type="dxa"/>
            <w:vAlign w:val="bottom"/>
            <w:shd w:val="clear" w:color="auto" w:fill="CFF0FC"/>
          </w:tcPr>
          <w:p>
            <w:pPr>
              <w:jc w:val="right"/>
              <w:ind w:right="1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48,562</w:t>
            </w: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37,842</w:t>
            </w: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10,720</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DTE revenue</w:t>
            </w: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9,613</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9,583</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Consumer revenue</w:t>
            </w: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3,504</w:t>
            </w: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4,757</w:t>
            </w: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(1,253)</w:t>
            </w: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revenue</w:t>
            </w: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61,679</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52,182</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9,497</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Costs and operating expenses:</w:t>
            </w: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Cost of revenue, excluding</w:t>
            </w:r>
          </w:p>
        </w:tc>
        <w:tc>
          <w:tcPr>
            <w:tcW w:w="14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36,064</w:t>
            </w: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28,789</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w:t>
            </w: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2,840</w:t>
            </w: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9"/>
        </w:trPr>
        <w:tc>
          <w:tcPr>
            <w:tcW w:w="4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Clinical operations</w:t>
            </w: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13,849</w:t>
            </w: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13,926</w:t>
            </w: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3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40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12,818</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5,207</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1,537</w:t>
            </w:r>
          </w:p>
        </w:tc>
        <w:tc>
          <w:tcPr>
            <w:tcW w:w="3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888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costs and operating expenses</w:t>
            </w: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68,806</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53,267</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from operations</w:t>
            </w:r>
          </w:p>
        </w:tc>
        <w:tc>
          <w:tcPr>
            <w:tcW w:w="1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(7,127)</w:t>
            </w:r>
          </w:p>
        </w:tc>
        <w:tc>
          <w:tcPr>
            <w:tcW w:w="14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(1,085)</w:t>
            </w:r>
          </w:p>
        </w:tc>
        <w:tc>
          <w:tcPr>
            <w:tcW w:w="7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(6,042)</w:t>
            </w: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Financial income, net</w:t>
            </w:r>
          </w:p>
        </w:tc>
        <w:tc>
          <w:tcPr>
            <w:tcW w:w="14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(945)</w:t>
            </w:r>
          </w:p>
        </w:tc>
        <w:tc>
          <w:tcPr>
            <w:tcW w:w="14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(1,526)</w:t>
            </w:r>
          </w:p>
        </w:tc>
        <w:tc>
          <w:tcPr>
            <w:tcW w:w="7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income before income taxes</w:t>
            </w:r>
          </w:p>
        </w:tc>
        <w:tc>
          <w:tcPr>
            <w:tcW w:w="14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(6,182)</w:t>
            </w:r>
          </w:p>
        </w:tc>
        <w:tc>
          <w:tcPr>
            <w:tcW w:w="14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(6,623)</w:t>
            </w: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1400" w:type="dxa"/>
            <w:vAlign w:val="bottom"/>
            <w:shd w:val="clear" w:color="auto" w:fill="CFF0FC"/>
          </w:tcPr>
          <w:p>
            <w:pPr>
              <w:jc w:val="right"/>
              <w:ind w:right="1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(6,306)</w:t>
            </w:r>
          </w:p>
        </w:tc>
        <w:tc>
          <w:tcPr>
            <w:tcW w:w="1400" w:type="dxa"/>
            <w:vAlign w:val="bottom"/>
            <w:shd w:val="clear" w:color="auto" w:fill="CFF0FC"/>
          </w:tcPr>
          <w:p>
            <w:pPr>
              <w:jc w:val="right"/>
              <w:ind w:right="1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2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(6,624)</w:t>
            </w: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 increased by $9.5 million, or 18.2% for the three months ended March 31, 2026 compared to the three months ended March 31, 2025, primarily due to a 28.3% increase in Payor revenue, partially offset by a 26.3% decline in Consumer revenue. The increase in revenue from our Payor customers is primarily due to a 31.2% increase in number of completed Payor sessions as a result of an increase of 26.4% in unique active payor members and an increase of 12.9% in the number of health plan customers. Consumer subscription revenue decreased by $1.3 million, or 26.3% for the three months ended March 31, 2026 compared to the three months ended March 31, 2025, primarily due to a 23.9% decline in Consumer active members due to the Company's intentional and strategic decision to optimize and focus marketing efforts on attracting Payor members.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the increase in revenue for the three months ended March 31, 2026 compared to the three months ended March 31, 2025 was predominantly volume-driven reflecting a shift in revenue mix towards Payor.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excluding depreciation and amortization. </w:t>
      </w:r>
      <w:r>
        <w:rPr>
          <w:rFonts w:ascii="Times New Roman" w:cs="Times New Roman" w:eastAsia="Times New Roman" w:hAnsi="Times New Roman"/>
          <w:sz w:val="18"/>
          <w:szCs w:val="18"/>
          <w:color w:val="auto"/>
        </w:rPr>
        <w:t>Cost of revenue, excluding depreciation and amortization, increased by $7.3 million, or 25.3%,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$36.1 million for the three months ended March 31, 2026 from $28.8 million for the three months ended March 31, 2025. The increase in cost of revenue for the three months ended March 31, 2026, was primarily due to increased hours worked by therapists as a result of increased Payor sessions.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by approximately $0.2 million, or 6.2%, to $2.7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2026 from $2.8 million for the three months ended March 31, 2025. The decrease in research and development expenses for the three months ended March 31, 2026 was primarily due to a decrease in employee-related costs of $0.3 million, as a result of the exclusion of amounts reflected as capitalized internal-use software development costs.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operations expenses. </w:t>
      </w:r>
      <w:r>
        <w:rPr>
          <w:rFonts w:ascii="Times New Roman" w:cs="Times New Roman" w:eastAsia="Times New Roman" w:hAnsi="Times New Roman"/>
          <w:sz w:val="18"/>
          <w:szCs w:val="18"/>
          <w:color w:val="auto"/>
        </w:rPr>
        <w:t>Clinical operations expenses remained relatively unchanged at $1.9 million for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same period in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remained relatively unchanged at $13.8 million for the three months ended March 31, 2026,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$13.9 million for the three months ended March 31,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$7.6 million, or 146.2%, to $12.8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2026 from $5.2 million for the three months ended March 31, 2025. The increase in general and administrative expenses for the three months ended March 31, 2026 was primarily due to $7.3 million of transaction-related costs, including financial advisory, legal, and accounting fees related to the merger with UHS.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increased by $0.9 million, or 136.8%, to $1.5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2026 from $0.6 million for the three months ended March 31, 2025. The increase in depreciation and amortization expenses for the three months ended March 31, 2026 was primarily due a $0.7 million increase in amortization expense related to capitalized internal-use software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income, net decreased by $0.6 million, or 38.1%, to $0.9 million for the three months ended March 31, 2026 from $1.5 million for the three months ended March 31, 2025. The decrease in financial income, net was primarily due to a decrease in interest income earned on marketable securities and other highly liquid investments of $0.4 million due to a reduction in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was immaterial and remained relatively unchanged for the three months ended March 31, 2026, compared to the same period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income (loss) before income taxes, net income (loss), income (loss) per share, or any other performance measures derived in accordance with U.S. GAAP. When evaluating our performance, you should consider adjusted EBITDA alongside other financial performance measures, including our net income (loss) and other GAAP results.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(loss) income,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 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(loss) income adjusted to exclude (i) depreciation and amortization, (ii) stock-based compensation expense, (iii) financial income, net, (iv) income tax expense, and (v) certain non-recurring expenses, where applicable. The following table presents a reconciliation of adjusted EBITDA from the most comparable GAAP measure, net (loss) income for the three months ended March 31, 2026 and 2025:</w:t>
      </w:r>
    </w:p>
    <w:p>
      <w:pPr>
        <w:spacing w:after="0" w:line="169"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8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8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(6,306)</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(945)</w:t>
            </w:r>
          </w:p>
        </w:tc>
        <w:tc>
          <w:tcPr>
            <w:tcW w:w="4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4"/>
                <w:szCs w:val="24"/>
                <w:color w:val="auto"/>
                <w:vertAlign w:val="superscript"/>
              </w:rPr>
              <w:t>(1)</w:t>
            </w:r>
          </w:p>
        </w:tc>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80" w:type="dxa"/>
            <w:vAlign w:val="bottom"/>
            <w:tcBorders>
              <w:bottom w:val="single" w:sz="8" w:color="auto"/>
            </w:tcBorders>
            <w:gridSpan w:val="2"/>
          </w:tcPr>
          <w:p>
            <w:pPr>
              <w:jc w:val="right"/>
              <w:ind w:right="132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32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-170815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1" w:lineRule="exact"/>
        <w:rPr>
          <w:sz w:val="20"/>
          <w:szCs w:val="20"/>
          <w:color w:val="auto"/>
        </w:rPr>
      </w:pPr>
    </w:p>
    <w:p>
      <w:pPr>
        <w:ind w:left="1020" w:right="280" w:hanging="503"/>
        <w:spacing w:after="0" w:line="261"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months ended March 31, 2026, non-recurring expenses consisted of transaction-related costs, including financial advisory, legal, and accounting fees related to the merger with UHS.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had $84.2 million of cash, cash equivalents, and short-term marketable securities ($92.6 million as of December 31, 2025), which we use to finance our operations and support a variety of growth initiatives and investments. We had no debt as of March 31, 2026 and as of December 31, 2025.</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enter into arrangements to acquire or invest in complementary businesses, services and technologies.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next 12 months and thereafter for the foreseeable future using available cash and cash equivalent balances.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stock repurchases during the three months ended March 31, 2026. During the three months ended March 31, 2025, the Company repurchased and retired an aggregate of 2,519,170 shares of its common stock for a total consideration of $7.0 million ($2.76 per share). As of March 31, 2026, $11.8 million remained available under the Share Repurchase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repurchases may be completed periodically through various methods in compliance with applicable state and federal securities laws and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retired. The program does not obligate the Company to repurchase any dollar amount or number of shares, and may be suspended or terminated at any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“Capital Stock” in the notes to the condensed consolidated financial statements for further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condensed consolidated cash flow information for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342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13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00" w:type="dxa"/>
            <w:vAlign w:val="bottom"/>
            <w:shd w:val="clear" w:color="auto" w:fill="CFF0FC"/>
          </w:tcPr>
          <w:p>
            <w:pPr>
              <w:jc w:val="right"/>
              <w:ind w:right="117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(4,418)</w:t>
            </w:r>
          </w:p>
        </w:tc>
        <w:tc>
          <w:tcPr>
            <w:tcW w:w="1380" w:type="dxa"/>
            <w:vAlign w:val="bottom"/>
            <w:gridSpan w:val="2"/>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(9,019)</w:t>
            </w:r>
          </w:p>
        </w:tc>
        <w:tc>
          <w:tcPr>
            <w:tcW w:w="0" w:type="dxa"/>
            <w:vAlign w:val="bottom"/>
          </w:tcPr>
          <w:p>
            <w:pPr>
              <w:spacing w:after="0"/>
              <w:rPr>
                <w:sz w:val="1"/>
                <w:szCs w:val="1"/>
                <w:color w:val="auto"/>
              </w:rPr>
            </w:pPr>
          </w:p>
        </w:tc>
      </w:tr>
      <w:tr>
        <w:trPr>
          <w:trHeight w:val="216"/>
        </w:trPr>
        <w:tc>
          <w:tcPr>
            <w:tcW w:w="71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(6,357)</w:t>
            </w:r>
          </w:p>
        </w:tc>
        <w:tc>
          <w:tcPr>
            <w:tcW w:w="0" w:type="dxa"/>
            <w:vAlign w:val="bottom"/>
          </w:tcPr>
          <w:p>
            <w:pPr>
              <w:spacing w:after="0"/>
              <w:rPr>
                <w:sz w:val="1"/>
                <w:szCs w:val="1"/>
                <w:color w:val="auto"/>
              </w:rPr>
            </w:pPr>
          </w:p>
        </w:tc>
      </w:tr>
      <w:tr>
        <w:trPr>
          <w:trHeight w:val="20"/>
        </w:trPr>
        <w:tc>
          <w:tcPr>
            <w:tcW w:w="7120" w:type="dxa"/>
            <w:vAlign w:val="bottom"/>
            <w:tcBorders>
              <w:right w:val="single" w:sz="8" w:color="CFF0FC"/>
            </w:tcBorders>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00" w:type="dxa"/>
            <w:vAlign w:val="bottom"/>
          </w:tcPr>
          <w:p>
            <w:pPr>
              <w:jc w:val="right"/>
              <w:ind w:right="117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(5,941)</w:t>
            </w:r>
          </w:p>
        </w:tc>
        <w:tc>
          <w:tcPr>
            <w:tcW w:w="138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(16,615)</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operating activities was primarily due to unfavorable timing of customer payments which increased accounts receivable and net loss for the three months ended March 31, 2026 compared to net income for the three months ended March 31, 2025, partially offset by favorable timing on accounts payable and accrual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cash used in investing activities was driven primarily by increased proceeds from maturities of marketable securities and reduced purchases of marketable securities, partially offset by an increase in capitalized internal-use software development costs during the three months ended March 31, 2026 compared to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cash used in financing activities was driven primarily by a decline in the purchase of outstanding shares of the Company’s common stock under the Share Repurchase Program, as there were no stock repurchases during the three months ended March 31, 2026. During the three months ended March 31, 2025, the Company repurchased and retired $7.0 million of the Company's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did not have any short-term or long-term debt, or significant long-term liabilities. As of March 31, 2026, we have a non-material long-term operating lease for our office space in New York, NY.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There were no material legal proceedings, claims or litigation as of March 31, 2026.</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2025.</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condensed consolidated financial statements. The significant accounting policies used in the preparation of the Company’s condensed consolidated financial statements are summarized in Note 2 to the audited consolidated financial statements in the Company’s Annual Report on Form 10-K for the year ended December 31, 2025.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matters discussed under the heading “Critical Accounting Policies and Estimates” in Part II, Item 7 of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2025 and in Note 2, “Significant Accounting Policies” in the notes to the condensed consolidated financial statements of this Quarterly Report on Form 10-Q.</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and uncertainties. Many important factors could cause actual future events to differ materially from the forward-looking statements in this Quarterly Report, including but not limited to: (i) rapid technological change in our industry; (ii) our ability to secure customers' contract renewals; (iii) our ability to maintain and expand our network of therapists, psychiatrists and other providers; (iv) a decline in the prevalence of enterprise-sponsored healthcare or the emergence of new technologies may adversely impact our DTE business; (v) if our or our vendors’ security measures fail or are breached; (vi) changes in healthcare laws, regulations or trends and our ability to operate in the heavily regulated healthcare industry; (vii) risks related to the proposed merger with Universal Health Services, Inc., including the risk that the transaction may not be completed on the anticipated timeline or at all, including due to a failure by our stockholders to approve the merger; and (viii) the other factors, risks and uncertainties discussed in Part I, Item 1A, “Risk Factors” of the Company's Annual Report on Form 10-K for the fiscal year ended December 31, 2025 and subsequent quarterly reports on Form 10-Q, including this report.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read this Quarterly Report and the risk factors discussed in Part I, Item 1A, “Risk Factors” of the Company’s Annual Report on Form 10-K for the fiscal year ended December 31, 2025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the information contained in Part II, Item 7A of the Company’s Annual Report on Form 10-K for the year ended December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the Company's management, the Company's Chief Executive Officer and Chief Financial Officer have concluded that the Company's disclosure controls and procedures (as defined in Exchange Act Rules 13a-15(e) and 15d-15(e)) were effective as of March 31, 2026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of the Exchange Act) that occurred during the first quarter of 2026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372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material pending legal proceedings as of March 31, 2026; for more details see Note 6, “Commitments and Contingent Liabilities” in the Notes to the Condensed Consolidated Financial Statements included in Part I, Item 1 of this Quarterly Report on Form 10-Q, which is incorporated 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under Part I, Item 1A. “Risk Factors” in the Company’s Annual Report on Form 10-K for the year ended December 31, 2025.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three months ended March 31, 2026, there were no material changes to the information contained in Part I, Item 1A of the Company's Annual Report on Form 10-K for the year ended December 31,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is a summary of share repurchases for the three months ended March 31, 2026. See Note 7, “Capital Stock” in the Notes to the Condensed Consolidated Financial Statements included in Part I, Item 1 of this Quarterly Report on Form 10-Q, as well as the section entitled “Liquidity Capital Resources-Share Repurchase Program” in Part I, Item 2 of this Quarterly Report on Form 10-Q for information regarding our share repurchase program.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20" w:type="dxa"/>
            <w:vAlign w:val="bottom"/>
            <w:gridSpan w:val="4"/>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020" w:type="dxa"/>
            <w:vAlign w:val="bottom"/>
            <w:gridSpan w:val="4"/>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2"/>
                <w:szCs w:val="12"/>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6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18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 (1)</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January 1 - 31</w:t>
            </w:r>
          </w:p>
        </w:tc>
        <w:tc>
          <w:tcPr>
            <w:tcW w:w="180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top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1 - 28</w:t>
            </w:r>
          </w:p>
        </w:tc>
        <w:tc>
          <w:tcPr>
            <w:tcW w:w="180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March 1 - 31</w:t>
            </w:r>
          </w:p>
        </w:tc>
        <w:tc>
          <w:tcPr>
            <w:tcW w:w="18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-25400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$11.8 million remained available for share repurchases under the Share Repurchase Program as of March 31,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directors or officers, as defined in Securities Exchange Act Rule 16a-1(f), adopted, modified, or terminated a “Rule 10b5-1 trading arrangement” or a “non-Rule 10b5-1 trading arrangement,” as defined in Item 408 of Regulation S-K, during the three months ended March 31, 2026.</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8" w:name="page29"/>
    <w:bookmarkEnd w:id="2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3"/>
          <w:szCs w:val="23"/>
          <w:b w:val="1"/>
          <w:bCs w:val="1"/>
          <w:color w:val="auto"/>
        </w:rPr>
        <w:t>EXHIBIT INDEX</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06"/>
        </w:trPr>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Furnished</w:t>
            </w:r>
          </w:p>
        </w:tc>
      </w:tr>
      <w:tr>
        <w:trPr>
          <w:trHeight w:val="215"/>
        </w:trPr>
        <w:tc>
          <w:tcPr>
            <w:tcW w:w="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9180" w:type="dxa"/>
            <w:vAlign w:val="bottom"/>
            <w:tcBorders>
              <w:bottom w:val="single" w:sz="8" w:color="auto"/>
            </w:tcBorders>
            <w:gridSpan w:val="5"/>
          </w:tcPr>
          <w:p>
            <w:pPr>
              <w:ind w:left="39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81"/>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1</w:t>
            </w:r>
          </w:p>
        </w:tc>
        <w:tc>
          <w:tcPr>
            <w:tcW w:w="20" w:type="dxa"/>
            <w:vAlign w:val="bottom"/>
            <w:tcBorders>
              <w:bottom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13a-14(a)/15d-14(a).</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5"/>
                <w:szCs w:val="15"/>
                <w:color w:val="0000FF"/>
                <w:w w:val="98"/>
              </w:rPr>
              <w:t>31.</w:t>
            </w:r>
            <w:r>
              <w:rPr>
                <w:rFonts w:ascii="Times New Roman" w:cs="Times New Roman" w:eastAsia="Times New Roman" w:hAnsi="Times New Roman"/>
                <w:sz w:val="15"/>
                <w:szCs w:val="15"/>
                <w:u w:val="single" w:color="auto"/>
                <w:color w:val="0000FF"/>
                <w:w w:val="98"/>
              </w:rPr>
              <w:t>2</w:t>
            </w:r>
          </w:p>
        </w:tc>
        <w:tc>
          <w:tcPr>
            <w:tcW w:w="20" w:type="dxa"/>
            <w:vAlign w:val="bottom"/>
            <w:tcBorders>
              <w:bottom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8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Rule 13a-14(a)/15d-14(a).</w:t>
            </w:r>
          </w:p>
        </w:tc>
        <w:tc>
          <w:tcPr>
            <w:tcW w:w="3800" w:type="dxa"/>
            <w:vAlign w:val="bottom"/>
          </w:tcPr>
          <w:p>
            <w:pPr>
              <w:spacing w:after="0"/>
              <w:rPr>
                <w:sz w:val="17"/>
                <w:szCs w:val="17"/>
                <w:color w:val="auto"/>
              </w:rPr>
            </w:pPr>
          </w:p>
        </w:tc>
        <w:tc>
          <w:tcPr>
            <w:tcW w:w="1140" w:type="dxa"/>
            <w:vAlign w:val="bottom"/>
            <w:gridSpan w:val="2"/>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w w:val="88"/>
              </w:rPr>
              <w:t>*</w:t>
            </w:r>
          </w:p>
        </w:tc>
      </w:tr>
      <w:tr>
        <w:trPr>
          <w:trHeight w:val="196"/>
        </w:trPr>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5"/>
                <w:szCs w:val="15"/>
                <w:color w:val="0000FF"/>
                <w:w w:val="98"/>
              </w:rPr>
              <w:t>32.</w:t>
            </w:r>
            <w:r>
              <w:rPr>
                <w:rFonts w:ascii="Times New Roman" w:cs="Times New Roman" w:eastAsia="Times New Roman" w:hAnsi="Times New Roman"/>
                <w:sz w:val="15"/>
                <w:szCs w:val="15"/>
                <w:u w:val="single" w:color="auto"/>
                <w:color w:val="0000FF"/>
                <w:w w:val="98"/>
              </w:rPr>
              <w:t>1</w:t>
            </w:r>
          </w:p>
        </w:tc>
        <w:tc>
          <w:tcPr>
            <w:tcW w:w="20" w:type="dxa"/>
            <w:vAlign w:val="bottom"/>
            <w:tcBorders>
              <w:bottom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5"/>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w:t>
            </w:r>
          </w:p>
        </w:tc>
        <w:tc>
          <w:tcPr>
            <w:tcW w:w="1140" w:type="dxa"/>
            <w:vAlign w:val="bottom"/>
            <w:gridSpan w:val="2"/>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28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5"/>
                <w:szCs w:val="15"/>
                <w:color w:val="0000FF"/>
                <w:w w:val="98"/>
              </w:rPr>
              <w:t>32.</w:t>
            </w:r>
            <w:r>
              <w:rPr>
                <w:rFonts w:ascii="Times New Roman" w:cs="Times New Roman" w:eastAsia="Times New Roman" w:hAnsi="Times New Roman"/>
                <w:sz w:val="15"/>
                <w:szCs w:val="15"/>
                <w:u w:val="single" w:color="auto"/>
                <w:color w:val="0000FF"/>
                <w:w w:val="98"/>
              </w:rPr>
              <w:t>2</w:t>
            </w:r>
          </w:p>
        </w:tc>
        <w:tc>
          <w:tcPr>
            <w:tcW w:w="20" w:type="dxa"/>
            <w:vAlign w:val="bottom"/>
            <w:tcBorders>
              <w:bottom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w:t>
            </w:r>
          </w:p>
        </w:tc>
        <w:tc>
          <w:tcPr>
            <w:tcW w:w="3940" w:type="dxa"/>
            <w:vAlign w:val="bottom"/>
            <w:gridSpan w:val="3"/>
          </w:tcPr>
          <w:p>
            <w:pPr>
              <w:spacing w:after="0"/>
              <w:rPr>
                <w:sz w:val="17"/>
                <w:szCs w:val="17"/>
                <w:color w:val="auto"/>
              </w:rPr>
            </w:pPr>
          </w:p>
        </w:tc>
        <w:tc>
          <w:tcPr>
            <w:tcW w:w="1140" w:type="dxa"/>
            <w:vAlign w:val="bottom"/>
            <w:gridSpan w:val="2"/>
          </w:tcPr>
          <w:p>
            <w:pPr>
              <w:jc w:val="center"/>
              <w:ind w:left="30"/>
              <w:spacing w:after="0" w:line="182" w:lineRule="exact"/>
              <w:rPr>
                <w:sz w:val="20"/>
                <w:szCs w:val="20"/>
                <w:color w:val="auto"/>
              </w:rPr>
            </w:pPr>
            <w:r>
              <w:rPr>
                <w:rFonts w:ascii="Times New Roman" w:cs="Times New Roman" w:eastAsia="Times New Roman" w:hAnsi="Times New Roman"/>
                <w:sz w:val="18"/>
                <w:szCs w:val="18"/>
                <w:color w:val="auto"/>
                <w:w w:val="99"/>
              </w:rPr>
              <w:t>**</w:t>
            </w:r>
          </w:p>
        </w:tc>
      </w:tr>
      <w:tr>
        <w:trPr>
          <w:trHeight w:val="208"/>
        </w:trPr>
        <w:tc>
          <w:tcPr>
            <w:tcW w:w="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101.INS</w:t>
            </w:r>
          </w:p>
        </w:tc>
        <w:tc>
          <w:tcPr>
            <w:tcW w:w="120" w:type="dxa"/>
            <w:vAlign w:val="bottom"/>
          </w:tcPr>
          <w:p>
            <w:pPr>
              <w:spacing w:after="0"/>
              <w:rPr>
                <w:sz w:val="18"/>
                <w:szCs w:val="18"/>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Instance Document-the instance document does not appear in the Interactive Data file because its XBRL tags are</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03"/>
        </w:trPr>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101.SCH</w:t>
            </w:r>
          </w:p>
        </w:tc>
        <w:tc>
          <w:tcPr>
            <w:tcW w:w="120" w:type="dxa"/>
            <w:vAlign w:val="bottom"/>
          </w:tcPr>
          <w:p>
            <w:pPr>
              <w:spacing w:after="0"/>
              <w:rPr>
                <w:sz w:val="18"/>
                <w:szCs w:val="18"/>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with Embedded Linkbase Documents.</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(as formatted as Inline XBRL and contained in Exhibit 101).</w:t>
            </w:r>
          </w:p>
        </w:tc>
        <w:tc>
          <w:tcPr>
            <w:tcW w:w="11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7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191"/>
        </w:trPr>
        <w:tc>
          <w:tcPr>
            <w:tcW w:w="34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7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4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0"/>
        </w:trPr>
        <w:tc>
          <w:tcPr>
            <w:tcW w:w="3400" w:type="dxa"/>
            <w:vAlign w:val="bottom"/>
          </w:tcPr>
          <w:p>
            <w:pPr>
              <w:spacing w:after="0"/>
              <w:rPr>
                <w:sz w:val="24"/>
                <w:szCs w:val="24"/>
                <w:color w:val="auto"/>
              </w:rPr>
            </w:pPr>
          </w:p>
        </w:tc>
        <w:tc>
          <w:tcPr>
            <w:tcW w:w="27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w:t>
            </w:r>
          </w:p>
        </w:tc>
        <w:tc>
          <w:tcPr>
            <w:tcW w:w="5080" w:type="dxa"/>
            <w:vAlign w:val="bottom"/>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Cohen, certify that:</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191"/>
        </w:trPr>
        <w:tc>
          <w:tcPr>
            <w:tcW w:w="34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4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Harris,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4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7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Cohen</w:t>
            </w:r>
          </w:p>
        </w:tc>
      </w:tr>
      <w:tr>
        <w:trPr>
          <w:trHeight w:val="191"/>
        </w:trPr>
        <w:tc>
          <w:tcPr>
            <w:tcW w:w="34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Cohen</w:t>
            </w:r>
          </w:p>
        </w:tc>
      </w:tr>
      <w:tr>
        <w:trPr>
          <w:trHeight w:val="234"/>
        </w:trPr>
        <w:tc>
          <w:tcPr>
            <w:tcW w:w="3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95"/>
        </w:trPr>
        <w:tc>
          <w:tcPr>
            <w:tcW w:w="34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Harris</w:t>
            </w:r>
          </w:p>
        </w:tc>
      </w:tr>
      <w:tr>
        <w:trPr>
          <w:trHeight w:val="191"/>
        </w:trPr>
        <w:tc>
          <w:tcPr>
            <w:tcW w:w="3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Harris</w:t>
            </w:r>
          </w:p>
        </w:tc>
      </w:tr>
      <w:tr>
        <w:trPr>
          <w:trHeight w:val="234"/>
        </w:trPr>
        <w:tc>
          <w:tcPr>
            <w:tcW w:w="34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34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2026-05-11T16:19:27Z</dcterms:created>
  <dcterms:modified xsi:type="dcterms:W3CDTF">2026-05-11T16:19:27Z</dcterms:modified>
</cp:coreProperties>
</file>