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199390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 (d)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Talkspace,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001-39314</w:t>
            </w:r>
          </w:p>
        </w:tc>
        <w:tc>
          <w:tcPr>
            <w:tcW w:w="1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84-4636604</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622 Third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284-7206</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840" w:type="dxa"/>
            <w:vAlign w:val="bottom"/>
            <w:tcBorders>
              <w:top w:val="single" w:sz="8" w:color="auto"/>
              <w:left w:val="single" w:sz="8" w:color="auto"/>
              <w:right w:val="single" w:sz="8" w:color="auto"/>
            </w:tcBorders>
          </w:tcPr>
          <w:p>
            <w:pPr>
              <w:spacing w:after="0"/>
              <w:rPr>
                <w:sz w:val="20"/>
                <w:szCs w:val="20"/>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700" w:type="dxa"/>
            <w:vAlign w:val="bottom"/>
            <w:tcBorders>
              <w:top w:val="single" w:sz="8" w:color="auto"/>
              <w:right w:val="single" w:sz="8" w:color="auto"/>
            </w:tcBorders>
          </w:tcPr>
          <w:p>
            <w:pPr>
              <w:spacing w:after="0"/>
              <w:rPr>
                <w:sz w:val="20"/>
                <w:szCs w:val="20"/>
                <w:color w:val="auto"/>
              </w:rPr>
            </w:pPr>
          </w:p>
        </w:tc>
      </w:tr>
      <w:tr>
        <w:trPr>
          <w:trHeight w:val="234"/>
        </w:trPr>
        <w:tc>
          <w:tcPr>
            <w:tcW w:w="3840" w:type="dxa"/>
            <w:vAlign w:val="bottom"/>
            <w:tcBorders>
              <w:left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TALK</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TALKW</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64"/>
        </w:trPr>
        <w:tc>
          <w:tcPr>
            <w:tcW w:w="38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682"/>
        </w:trPr>
        <w:tc>
          <w:tcPr>
            <w:tcW w:w="3840" w:type="dxa"/>
            <w:vAlign w:val="bottom"/>
            <w:tcBorders>
              <w:bottom w:val="single" w:sz="8" w:color="BFBFBF"/>
            </w:tcBorders>
          </w:tcPr>
          <w:p>
            <w:pPr>
              <w:spacing w:after="0"/>
              <w:rPr>
                <w:sz w:val="24"/>
                <w:szCs w:val="24"/>
                <w:color w:val="auto"/>
              </w:rPr>
            </w:pPr>
          </w:p>
        </w:tc>
        <w:tc>
          <w:tcPr>
            <w:tcW w:w="3700" w:type="dxa"/>
            <w:vAlign w:val="bottom"/>
            <w:tcBorders>
              <w:bottom w:val="single" w:sz="8" w:color="BFBFBF"/>
            </w:tcBorders>
          </w:tcPr>
          <w:p>
            <w:pPr>
              <w:spacing w:after="0"/>
              <w:rPr>
                <w:sz w:val="24"/>
                <w:szCs w:val="24"/>
                <w:color w:val="auto"/>
              </w:rPr>
            </w:pPr>
          </w:p>
        </w:tc>
        <w:tc>
          <w:tcPr>
            <w:tcW w:w="37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29, 2026, Talkspace,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a special meeting of its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The Company filed its definitive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for the proposals voted upon at the Special Meeting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20,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close of business on April 13, 2026, the record date for the Special Meeting, there were 167,512,566 shares of the Company’s common stock issued and outstanding and entitled to vote at the Special Meeting. A quorum of 123,442,490.14 shares of the Company’s common stock was represented in person or by proxy at the Special Meeting. The number of votes cast for, against or withheld, as well as abstentions and broker non-votes, if applicable, with respect to each proposal is set out below:</w:t>
      </w:r>
    </w:p>
    <w:p>
      <w:pPr>
        <w:spacing w:after="0" w:line="180" w:lineRule="exact"/>
        <w:rPr>
          <w:sz w:val="20"/>
          <w:szCs w:val="20"/>
          <w:color w:val="auto"/>
        </w:rPr>
      </w:pPr>
    </w:p>
    <w:p>
      <w:pPr>
        <w:jc w:val="both"/>
        <w:ind w:left="1100" w:hanging="444"/>
        <w:spacing w:after="0" w:line="258"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adopt the Agreement and Plan of Merger, dated as of March 9,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Universal Health Services, Inc., a Delaware corporation (“</w:t>
      </w:r>
      <w:r>
        <w:rPr>
          <w:rFonts w:ascii="Times New Roman" w:cs="Times New Roman" w:eastAsia="Times New Roman" w:hAnsi="Times New Roman"/>
          <w:sz w:val="18"/>
          <w:szCs w:val="18"/>
          <w:u w:val="single" w:color="auto"/>
          <w:color w:val="auto"/>
        </w:rPr>
        <w:t>UHS</w:t>
      </w:r>
      <w:r>
        <w:rPr>
          <w:rFonts w:ascii="Times New Roman" w:cs="Times New Roman" w:eastAsia="Times New Roman" w:hAnsi="Times New Roman"/>
          <w:sz w:val="18"/>
          <w:szCs w:val="18"/>
          <w:color w:val="auto"/>
        </w:rPr>
        <w:t>”), UHS Merger Subsidiary, Inc., a Delaware corporation and an indirect wholly owned subsidiary of UHS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as an indirect wholly owned subsidiary of UHS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 as described in the Proxy Statement.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are the voting results for the Merger Proposal, which was approved by the Company’s common stockholders, receiving the affirmative vote of approximately 73.48% of the shares of the Company’s common stock outstanding and entitled to vote at the Special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40" w:type="dxa"/>
            <w:vAlign w:val="bottom"/>
            <w:shd w:val="clear" w:color="auto" w:fill="DBE2EF"/>
          </w:tcPr>
          <w:p>
            <w:pPr>
              <w:jc w:val="right"/>
              <w:ind w:right="770"/>
              <w:spacing w:after="0"/>
              <w:rPr>
                <w:sz w:val="20"/>
                <w:szCs w:val="20"/>
                <w:color w:val="auto"/>
              </w:rPr>
            </w:pPr>
            <w:r>
              <w:rPr>
                <w:rFonts w:ascii="Times New Roman" w:cs="Times New Roman" w:eastAsia="Times New Roman" w:hAnsi="Times New Roman"/>
                <w:sz w:val="18"/>
                <w:szCs w:val="18"/>
                <w:color w:val="auto"/>
              </w:rPr>
              <w:t>123,082,042.14</w:t>
            </w:r>
          </w:p>
        </w:tc>
        <w:tc>
          <w:tcPr>
            <w:tcW w:w="2820" w:type="dxa"/>
            <w:vAlign w:val="bottom"/>
            <w:shd w:val="clear" w:color="auto" w:fill="DBE2EF"/>
          </w:tcPr>
          <w:p>
            <w:pPr>
              <w:jc w:val="right"/>
              <w:ind w:right="1050"/>
              <w:spacing w:after="0"/>
              <w:rPr>
                <w:sz w:val="20"/>
                <w:szCs w:val="20"/>
                <w:color w:val="auto"/>
              </w:rPr>
            </w:pPr>
            <w:r>
              <w:rPr>
                <w:rFonts w:ascii="Times New Roman" w:cs="Times New Roman" w:eastAsia="Times New Roman" w:hAnsi="Times New Roman"/>
                <w:sz w:val="18"/>
                <w:szCs w:val="18"/>
                <w:color w:val="auto"/>
              </w:rPr>
              <w:t>331,508</w:t>
            </w:r>
          </w:p>
        </w:tc>
        <w:tc>
          <w:tcPr>
            <w:tcW w:w="2660" w:type="dxa"/>
            <w:vAlign w:val="bottom"/>
            <w:shd w:val="clear" w:color="auto" w:fill="DBE2EF"/>
          </w:tcPr>
          <w:p>
            <w:pPr>
              <w:jc w:val="right"/>
              <w:ind w:right="950"/>
              <w:spacing w:after="0"/>
              <w:rPr>
                <w:sz w:val="20"/>
                <w:szCs w:val="20"/>
                <w:color w:val="auto"/>
              </w:rPr>
            </w:pPr>
            <w:r>
              <w:rPr>
                <w:rFonts w:ascii="Times New Roman" w:cs="Times New Roman" w:eastAsia="Times New Roman" w:hAnsi="Times New Roman"/>
                <w:sz w:val="18"/>
                <w:szCs w:val="18"/>
                <w:color w:val="auto"/>
              </w:rPr>
              <w:t>28,940</w:t>
            </w:r>
          </w:p>
        </w:tc>
        <w:tc>
          <w:tcPr>
            <w:tcW w:w="2920" w:type="dxa"/>
            <w:vAlign w:val="bottom"/>
            <w:shd w:val="clear" w:color="auto" w:fill="DBE2E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1100" w:hanging="444"/>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by advisory (non-binding) vote, the compensation that may be paid or become payable to the Company’s named executive officers in connection with the consummation of the Merger (the “</w:t>
      </w:r>
      <w:r>
        <w:rPr>
          <w:rFonts w:ascii="Times New Roman" w:cs="Times New Roman" w:eastAsia="Times New Roman" w:hAnsi="Times New Roman"/>
          <w:sz w:val="18"/>
          <w:szCs w:val="18"/>
          <w:u w:val="single" w:color="auto"/>
          <w:color w:val="auto"/>
        </w:rPr>
        <w:t>Advisory Compensation Proposal</w:t>
      </w:r>
      <w:r>
        <w:rPr>
          <w:rFonts w:ascii="Times New Roman" w:cs="Times New Roman" w:eastAsia="Times New Roman" w:hAnsi="Times New Roman"/>
          <w:sz w:val="18"/>
          <w:szCs w:val="18"/>
          <w:color w:val="auto"/>
        </w:rPr>
        <w:t>”), as described in the Proxy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voting results for the Advisory Compensation Proposal, which was not approved by the Company’s common stockholders, receiving the affirmative vote of approximately 41.98% of the votes cast (excluding abstentions and broker non-votes) by the Company’s stockholders on the Advisory Compensation Proposal at the Special Meeting.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shd w:val="clear" w:color="auto" w:fill="DBE5F1"/>
          </w:tcPr>
          <w:p>
            <w:pPr>
              <w:jc w:val="right"/>
              <w:ind w:right="810"/>
              <w:spacing w:after="0"/>
              <w:rPr>
                <w:sz w:val="20"/>
                <w:szCs w:val="20"/>
                <w:color w:val="auto"/>
              </w:rPr>
            </w:pPr>
            <w:r>
              <w:rPr>
                <w:rFonts w:ascii="Times New Roman" w:cs="Times New Roman" w:eastAsia="Times New Roman" w:hAnsi="Times New Roman"/>
                <w:sz w:val="18"/>
                <w:szCs w:val="18"/>
                <w:color w:val="auto"/>
              </w:rPr>
              <w:t>51,824,667.14</w:t>
            </w:r>
          </w:p>
        </w:tc>
        <w:tc>
          <w:tcPr>
            <w:tcW w:w="2840" w:type="dxa"/>
            <w:vAlign w:val="bottom"/>
            <w:shd w:val="clear" w:color="auto" w:fill="DBE5F1"/>
          </w:tcPr>
          <w:p>
            <w:pPr>
              <w:jc w:val="right"/>
              <w:ind w:right="950"/>
              <w:spacing w:after="0"/>
              <w:rPr>
                <w:sz w:val="20"/>
                <w:szCs w:val="20"/>
                <w:color w:val="auto"/>
              </w:rPr>
            </w:pPr>
            <w:r>
              <w:rPr>
                <w:rFonts w:ascii="Times New Roman" w:cs="Times New Roman" w:eastAsia="Times New Roman" w:hAnsi="Times New Roman"/>
                <w:sz w:val="18"/>
                <w:szCs w:val="18"/>
                <w:color w:val="auto"/>
              </w:rPr>
              <w:t>68,627,520</w:t>
            </w:r>
          </w:p>
        </w:tc>
        <w:tc>
          <w:tcPr>
            <w:tcW w:w="2660" w:type="dxa"/>
            <w:vAlign w:val="bottom"/>
            <w:shd w:val="clear" w:color="auto" w:fill="DBE5F1"/>
          </w:tcPr>
          <w:p>
            <w:pPr>
              <w:jc w:val="right"/>
              <w:ind w:right="850"/>
              <w:spacing w:after="0"/>
              <w:rPr>
                <w:sz w:val="20"/>
                <w:szCs w:val="20"/>
                <w:color w:val="auto"/>
              </w:rPr>
            </w:pPr>
            <w:r>
              <w:rPr>
                <w:rFonts w:ascii="Times New Roman" w:cs="Times New Roman" w:eastAsia="Times New Roman" w:hAnsi="Times New Roman"/>
                <w:sz w:val="18"/>
                <w:szCs w:val="18"/>
                <w:color w:val="auto"/>
              </w:rPr>
              <w:t>2,990,303</w:t>
            </w:r>
          </w:p>
        </w:tc>
        <w:tc>
          <w:tcPr>
            <w:tcW w:w="2920" w:type="dxa"/>
            <w:vAlign w:val="bottom"/>
            <w:shd w:val="clear" w:color="auto" w:fill="DBE5F1"/>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1100" w:hanging="444"/>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Meeting, the Company also solicited proxies with respect to a proposal to approve any adjournment of the Special Meeting for the purpose of soliciting additional proxies if there are insufficient votes at the Special Meeting to approve the Merger Proposal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as described in the Proxy Statement. As there were sufficient votes at the time of the Special Meeting to approve the Merger Proposal, the Adjournment Proposal was unnecessary and such proposal was not submitted to the Company’s stockholders for approval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29, 2026, the Company issued a press release announcing the results of the stockholder vote at the Special Meeting, a copy of which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We intend such forward-looking statements to be covered by the safe harbor provisions for forward-looking statements contained in Section 27A of the Securities Act of 1933, as amended, and Section 21E of the Exchange Act. All statements other than statements of historical facts contained in this communication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include, without limitation, statements regarding the proposed merger and related matters; the expected timetable for completing the proposed merger; prospective performance and opportunities; general business outlook; filings and approvals relating to the proposed merger; the ability to complete the proposed merger considering the various closing conditions; and any assumptions underlying any of the foregoing.</w:t>
      </w:r>
    </w:p>
    <w:p>
      <w:pPr>
        <w:spacing w:after="0" w:line="19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forward-looking statements in this communication and other such statements we publicly make from time to time are only predictions.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Risks and uncertainties include, among other things, (i) risks related to the satisfaction of the conditions to closing the Merger (including the failure to obtain necessary regulatory approvals) in the anticipated timeframe or at all, including the possibility that the Merger does not close; (ii) risks related to the possibility that competing offers or acquisition proposals for the Company will be made; (iii) the occurrence of any event, change or other circumstances that could give rise to the termination of the merger agreement, including in circumstances which would require the Company to pay a termination fee; (iv) risks related to the ability to realize the anticipated benefits of the Merger, including the possibility that the expected benefits from the Merger will not be realized or will not be realized within the expected time period; (v) the risk that the businesses will not be integrated successfully; (vi) disruption from the Merger making it more difficult to maintain business and operational relationships, including with customers, vendors, service providers and other business counterparties, and the Company’s ability to attract, motivate or retain key executives, employees and other associates; (vii) risk related to the Merger diverting the Company’s management’s attention from ongoing business operations; (viii) negative effects of the announcement or the consummation of the Merger on the market price of the Company common stock and on the Company’s operating results; (ix) the risk of litigation, including stockholder litigation, and/or regulatory actions, including any conditions, limitations or restrictions placed on approvals by any applicable governmental entities, related to the merger; and (x) (A) other risks and uncertainties discussed in the Company’s Annual Report on Form 10-K, for the fiscal year ended December 31, 2025 and subsequent Quarterly Reports on Form 10-Q (in particular, the risk factors set forth under the headings “Risk Factors” and “Management’s Discussion and Analysis of Financial Condition and Results of Operations” in such Annual Report and Quarterly Reports) and (B) other risk factors identified from time to time in other filings with the SEC. Filings with the SEC are available on the SEC’s website at </w:t>
      </w:r>
      <w:r>
        <w:rPr>
          <w:rFonts w:ascii="Times New Roman" w:cs="Times New Roman" w:eastAsia="Times New Roman" w:hAnsi="Times New Roman"/>
          <w:sz w:val="18"/>
          <w:szCs w:val="18"/>
          <w:u w:val="single" w:color="auto"/>
          <w:color w:val="0000F5"/>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communication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and the documents that we reference herein and have filed as exhibits to this communication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hereof. Except as required by applicable law, we do not plan to publicly update or revise any forward-looking statements contained in this communication or any forward-looking statements we may publicly make from time to time, whether as a result of any new information, future events or otherwise.</w:t>
      </w:r>
    </w:p>
    <w:p>
      <w:pPr>
        <w:spacing w:after="0" w:line="1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29, 2026, issued by the Company.</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3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6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Ian Harris</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Name:Ian Harris</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168275</wp:posOffset>
            </wp:positionV>
            <wp:extent cx="259778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78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STOCKHOLDERS VOTE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 ACQUISITION BY UHS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New York, NY, May 29, 2026 (GLOBE NEWSWIRE) – Talkspace, Inc. (“Talkspace”) (Nasdaq: TALK) today announced that at the special meeting of Talkspace stockholders held on May 29, 2026, the Talkspace stockholders voted to approve the acquisition of Talkspace by Universal Health Services, Inc. (“UHS”) pursuant to the terms and conditions of the Agreement and Plan of Merger, dated as of March 9, 2026 (the “Merger Agreement”), by and among Talkspace, UHS and UHS Merger Subsidiary, Inc., an indirect wholly owned subsidiary of UHS.</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Completion of the acquisition remains subject to the satisfaction or waiver of customary closing conditions, including the receipt of state regulatory approvals, and is expected to close in the third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Talkspace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Talkspace is a leading virtual behavioral healthcare provider committed to helping people lead healthier, happier lives through access to high-quality mental healthcare. Talkspace pioneered the ability to text with a licensed therapist from anywhere and now offers a comprehensive suite of mental health services, including therapy for individuals, teens, and couples, as well as psychiatric treatment and medication management (18+). With Talkspace’s core therapy offerings, members are matched with one of thousands of licensed therapists within days and can engage in live video, audio, or chat sessions, and/or unlimited asynchronous text messaging sessions.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All care offered at Talkspace is delivered through an easy-to-use, fully-encrypted web and mobile platform that meets HIPAA, federal, and state regulatory requirements. Most Americans have access to Talkspace through their health insurance plans, employee assistance programs, our partnerships with leading healthcare companies, or as a free benefit through their employer, school, or government agency.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We intend such forward-looking statements to be covered by the safe harbor provisions for forward-looking statements contained in Section 27A of the Securities Act of 1933, as amended, and Section 21E of the Exchange Act. All statements other than statements of historical facts contained in this press release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include, without limitation, statements regarding the proposed merger and related matters; the expected timetable for completing the proposed merger; prospective performance and opportunities; general business outlook; filings and approvals relating to the proposed merger; the ability to complete the proposed merger considering the various closing conditions; and any assumptions underlying any of the foregoing.</w:t>
      </w:r>
    </w:p>
    <w:p>
      <w:pPr>
        <w:spacing w:after="0" w:line="1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forward-looking statements in this press release and other such statements we publicly make from time to time are only predictions.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Risks and uncertainties include, among other things, (i) risks related to the satisfaction of the conditions to closing the merger (including the failure to obtain necessary regulatory approvals) in the anticipated timeframe or at all, including the possibility that the merger does not close; (ii) risks related to the possibility that competing offers or acquisition proposals for Talkspace will be made; (iii) the occurrence of any event, change or other circumstances that could give rise to the termination of the merger agreement, including in circumstances which would require Talkspace to pay a termination fee; (iv) risks related to the ability to realize the anticipated benefits of the merger, including the possibility that the expected benefits from the merger will not be realized or will not be realized within the expected time period; (v) the risk that the businesses will not be integrated successfully; (vi) disruption from the merger making it more difficult to maintain business and operational relationships, including with customers, vendors, service providers and other business counterparties, and Talkspace’s ability to attract, motivate or retain key executives, employees and other associates; (vii) risk related to the merger diverting Talkspace’s management’s attention from ongoing business operations; (viii) negative effects of the announcement or the consummation of the Merger on the market price of Talkspace common stock and on Talkspace’s operating results; (ix) the risk of litigation, including stockholder litigation, and/or regulatory actions, including any conditions, limitations or restrictions placed on approvals by any applicable governmental entities, related to the merger; and (x) (A) other risks and uncertainties discussed in Talkspace’s Annual Report on Form 10-K, for the fiscal year ended December 31, 2025 and subsequent Quarterly Reports on Form 10-Q (in particular, the risk factors set forth under the headings “Risk Factors” and “Management’s Discussion and Analysis of Financial Condition and Results of Operations” in such Annual Report and Quarterly Reports) and (B) other risk factors identified from time to time in other filings with the United States Securities Exchange Commission (the “SEC”). Filings with the SEC are available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press release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press release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hereof. Except as required by applicable law, we do not plan to publicly update or revise any forward-looking statements contained in this press release or any forward-looking statements we may publicly make from time to time, whether as a result of any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Talkspace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w:t>
      </w:r>
      <w:r>
        <w:rPr>
          <w:rFonts w:ascii="Times New Roman" w:cs="Times New Roman" w:eastAsia="Times New Roman" w:hAnsi="Times New Roman"/>
          <w:sz w:val="18"/>
          <w:szCs w:val="18"/>
          <w:u w:val="single" w:color="auto"/>
          <w:color w:val="auto"/>
        </w:rPr>
        <w:t>talkspaceir@icrhealthcare.com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u w:val="single" w:color="auto"/>
          <w:color w:val="auto"/>
        </w:rPr>
        <w:t>Press@talkspace.com</w:t>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2026-05-29T16:38:08Z</dcterms:created>
  <dcterms:modified xsi:type="dcterms:W3CDTF">2026-05-29T16:38:08Z</dcterms:modified>
</cp:coreProperties>
</file>